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4380" w:right="0" w:hanging="0"/>
        <w:jc w:val="left"/>
        <w:rPr>
          <w:caps w:val="false"/>
          <w:smallCaps w:val="false"/>
        </w:rPr>
      </w:pPr>
      <w:bookmarkStart w:id="0" w:name="tm2613905d1_6k.htm"/>
      <w:bookmarkStart w:id="1" w:name="kstm2613905d1_6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43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UNITED STATES</w:t>
      </w:r>
    </w:p>
    <w:p>
      <w:pPr>
        <w:pStyle w:val="TextBody"/>
        <w:bidi w:val="0"/>
        <w:spacing w:before="0" w:after="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SECURITIES AND EXCHANGE COMMISSION</w:t>
      </w:r>
    </w:p>
    <w:p>
      <w:pPr>
        <w:pStyle w:val="TextBody"/>
        <w:bidi w:val="0"/>
        <w:spacing w:before="0" w:after="0"/>
        <w:jc w:val="center"/>
        <w:rPr>
          <w:rFonts w:ascii="Times New Roman;Times;Serif" w:hAnsi="Times New Roman;Times;Serif"/>
          <w:b/>
          <w:i w:val="false"/>
          <w:caps w:val="false"/>
          <w:smallCaps w:val="false"/>
          <w:sz w:val="27"/>
        </w:rPr>
      </w:pPr>
      <w:r>
        <w:rPr>
          <w:rFonts w:ascii="Times New Roman;Times;Serif" w:hAnsi="Times New Roman;Times;Serif"/>
          <w:b/>
          <w:i w:val="false"/>
          <w:caps w:val="false"/>
          <w:smallCaps w:val="false"/>
          <w:sz w:val="27"/>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001-40540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Atour Lifestyle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1st floor, Wuzhong Building,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618 Wuzhong Road, Minhang District,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Shanghai, 201103, People’s Republic of China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 021-64059928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75"/>
        <w:gridCol w:w="1070"/>
        <w:gridCol w:w="60"/>
        <w:gridCol w:w="1100"/>
      </w:tblGrid>
      <w:tr>
        <w:trPr/>
        <w:tc>
          <w:tcPr>
            <w:tcW w:w="75"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9865" w:type="dxa"/>
        <w:jc w:val="left"/>
        <w:tblInd w:w="0" w:type="dxa"/>
        <w:tblLayout w:type="fixed"/>
        <w:tblCellMar>
          <w:top w:w="0" w:type="dxa"/>
          <w:left w:w="0" w:type="dxa"/>
          <w:bottom w:w="0" w:type="dxa"/>
          <w:right w:w="0" w:type="dxa"/>
        </w:tblCellMar>
      </w:tblPr>
      <w:tblGrid>
        <w:gridCol w:w="995"/>
        <w:gridCol w:w="8870"/>
      </w:tblGrid>
      <w:tr>
        <w:trPr/>
        <w:tc>
          <w:tcPr>
            <w:tcW w:w="99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88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8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center"/>
              <w:rPr/>
            </w:pPr>
            <w:hyperlink w:anchor="tm2613905d1_ex99-1.htm">
              <w:r>
                <w:rPr>
                  <w:rStyle w:val="InternetLink"/>
                  <w:rFonts w:ascii="Times New Roman;Times;Serif" w:hAnsi="Times New Roman;Times;Serif"/>
                  <w:b w:val="false"/>
                  <w:i w:val="false"/>
                  <w:caps w:val="false"/>
                  <w:smallCaps w:val="false"/>
                  <w:sz w:val="20"/>
                </w:rPr>
                <w:t>99.1</w:t>
              </w:r>
            </w:hyperlink>
          </w:p>
        </w:tc>
        <w:tc>
          <w:tcPr>
            <w:tcW w:w="8870" w:type="dxa"/>
            <w:tcBorders/>
            <w:shd w:fill="FFFFFF" w:val="clear"/>
            <w:vAlign w:val="center"/>
          </w:tcPr>
          <w:p>
            <w:pPr>
              <w:pStyle w:val="TableContents"/>
              <w:bidi w:val="0"/>
              <w:spacing w:before="0" w:after="283"/>
              <w:jc w:val="left"/>
              <w:rPr/>
            </w:pPr>
            <w:hyperlink w:anchor="tm2613905d1_ex99-1.htm">
              <w:r>
                <w:rPr>
                  <w:rStyle w:val="InternetLink"/>
                  <w:rFonts w:ascii="Times New Roman;Times;Serif" w:hAnsi="Times New Roman;Times;Serif"/>
                  <w:b w:val="false"/>
                  <w:i w:val="false"/>
                  <w:caps w:val="false"/>
                  <w:smallCaps w:val="false"/>
                  <w:sz w:val="20"/>
                </w:rPr>
                <w:t>Press Release — Atour Lifestyle Holdings Limited Reports First Quarter of 2026 Unaudited Financial Results</w:t>
              </w:r>
            </w:hyperlink>
          </w:p>
        </w:tc>
      </w:tr>
      <w:tr>
        <w:trPr/>
        <w:tc>
          <w:tcPr>
            <w:tcW w:w="9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8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shd w:fill="FFFFFF" w:val="clear"/>
            <w:vAlign w:val="center"/>
          </w:tcPr>
          <w:p>
            <w:pPr>
              <w:pStyle w:val="TableContents"/>
              <w:bidi w:val="0"/>
              <w:spacing w:before="0" w:after="283"/>
              <w:jc w:val="center"/>
              <w:rPr/>
            </w:pPr>
            <w:hyperlink w:anchor="tm2613905d1_ex99-2.htm">
              <w:r>
                <w:rPr>
                  <w:rStyle w:val="InternetLink"/>
                  <w:rFonts w:ascii="Times New Roman;Times;Serif" w:hAnsi="Times New Roman;Times;Serif"/>
                  <w:b w:val="false"/>
                  <w:i w:val="false"/>
                  <w:caps w:val="false"/>
                  <w:smallCaps w:val="false"/>
                  <w:sz w:val="20"/>
                </w:rPr>
                <w:t>99.2</w:t>
              </w:r>
            </w:hyperlink>
          </w:p>
        </w:tc>
        <w:tc>
          <w:tcPr>
            <w:tcW w:w="8870" w:type="dxa"/>
            <w:tcBorders/>
            <w:shd w:fill="FFFFFF" w:val="clear"/>
            <w:vAlign w:val="center"/>
          </w:tcPr>
          <w:p>
            <w:pPr>
              <w:pStyle w:val="TableContents"/>
              <w:bidi w:val="0"/>
              <w:spacing w:before="0" w:after="283"/>
              <w:jc w:val="left"/>
              <w:rPr/>
            </w:pPr>
            <w:hyperlink w:anchor="tm2613905d1_ex99-2.htm">
              <w:r>
                <w:rPr>
                  <w:rStyle w:val="InternetLink"/>
                  <w:rFonts w:ascii="Times New Roman;Times;Serif" w:hAnsi="Times New Roman;Times;Serif"/>
                  <w:b w:val="false"/>
                  <w:i w:val="false"/>
                  <w:caps w:val="false"/>
                  <w:smallCaps w:val="false"/>
                  <w:sz w:val="20"/>
                </w:rPr>
                <w:t>Press Release — Atour Lifestyle Holdings Limited Announces Cash Dividend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75"/>
        <w:gridCol w:w="320"/>
        <w:gridCol w:w="545"/>
        <w:gridCol w:w="5105"/>
      </w:tblGrid>
      <w:tr>
        <w:trPr/>
        <w:tc>
          <w:tcPr>
            <w:tcW w:w="75" w:type="dxa"/>
            <w:tcBorders/>
            <w:vAlign w:val="center"/>
          </w:tcPr>
          <w:p>
            <w:pPr>
              <w:pStyle w:val="TableContents"/>
              <w:bidi w:val="0"/>
              <w:spacing w:before="0" w:after="283"/>
              <w:jc w:val="left"/>
              <w:rPr/>
            </w:pPr>
            <w:r>
              <w:rPr/>
              <w:t> </w:t>
            </w:r>
          </w:p>
        </w:tc>
        <w:tc>
          <w:tcPr>
            <w:tcW w:w="5970" w:type="dxa"/>
            <w:gridSpan w:val="3"/>
            <w:tcBorders/>
            <w:vAlign w:val="center"/>
          </w:tcPr>
          <w:p>
            <w:pPr>
              <w:pStyle w:val="TableContents"/>
              <w:bidi w:val="0"/>
              <w:spacing w:before="0" w:after="283"/>
              <w:jc w:val="left"/>
              <w:rPr>
                <w:b/>
                <w:sz w:val="20"/>
              </w:rPr>
            </w:pPr>
            <w:r>
              <w:rPr>
                <w:b/>
                <w:sz w:val="20"/>
              </w:rPr>
              <w:t>Atour Lifestyle Holdings Limited</w:t>
            </w:r>
          </w:p>
        </w:tc>
      </w:tr>
      <w:tr>
        <w:trPr/>
        <w:tc>
          <w:tcPr>
            <w:tcW w:w="75" w:type="dxa"/>
            <w:tcBorders/>
            <w:vAlign w:val="center"/>
          </w:tcPr>
          <w:p>
            <w:pPr>
              <w:pStyle w:val="TableContents"/>
              <w:bidi w:val="0"/>
              <w:spacing w:before="0" w:after="283"/>
              <w:jc w:val="left"/>
              <w:rPr/>
            </w:pPr>
            <w:r>
              <w:rPr/>
              <w:t> </w:t>
            </w:r>
          </w:p>
        </w:tc>
        <w:tc>
          <w:tcPr>
            <w:tcW w:w="597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5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HAIJUN WANG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5105" w:type="dxa"/>
            <w:tcBorders/>
            <w:vAlign w:val="center"/>
          </w:tcPr>
          <w:p>
            <w:pPr>
              <w:pStyle w:val="TableContents"/>
              <w:bidi w:val="0"/>
              <w:spacing w:before="0" w:after="283"/>
              <w:jc w:val="left"/>
              <w:rPr>
                <w:sz w:val="20"/>
              </w:rPr>
            </w:pPr>
            <w:r>
              <w:rPr>
                <w:sz w:val="20"/>
              </w:rPr>
              <w:t>Haijun Wang</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5105" w:type="dxa"/>
            <w:tcBorders/>
            <w:vAlign w:val="center"/>
          </w:tcPr>
          <w:p>
            <w:pPr>
              <w:pStyle w:val="TableContents"/>
              <w:bidi w:val="0"/>
              <w:spacing w:before="0" w:after="283"/>
              <w:jc w:val="left"/>
              <w:rPr>
                <w:sz w:val="20"/>
              </w:rPr>
            </w:pPr>
            <w:r>
              <w:rPr>
                <w:sz w:val="20"/>
              </w:rPr>
              <w:t>Chairman of the Board of Director and Chief Executive Officer</w:t>
            </w:r>
          </w:p>
        </w:tc>
      </w:tr>
      <w:tr>
        <w:trPr/>
        <w:tc>
          <w:tcPr>
            <w:tcW w:w="75" w:type="dxa"/>
            <w:tcBorders/>
            <w:vAlign w:val="center"/>
          </w:tcPr>
          <w:p>
            <w:pPr>
              <w:pStyle w:val="TableContents"/>
              <w:bidi w:val="0"/>
              <w:spacing w:before="0" w:after="283"/>
              <w:jc w:val="left"/>
              <w:rPr/>
            </w:pPr>
            <w:r>
              <w:rPr/>
              <w:t> </w:t>
            </w:r>
          </w:p>
        </w:tc>
        <w:tc>
          <w:tcPr>
            <w:tcW w:w="5970" w:type="dxa"/>
            <w:gridSpan w:val="3"/>
            <w:tcBorders/>
            <w:vAlign w:val="center"/>
          </w:tcPr>
          <w:p>
            <w:pPr>
              <w:pStyle w:val="TableContents"/>
              <w:bidi w:val="0"/>
              <w:spacing w:before="0" w:after="283"/>
              <w:jc w:val="left"/>
              <w:rPr/>
            </w:pPr>
            <w:r>
              <w:rPr/>
              <w:t> </w:t>
            </w:r>
          </w:p>
        </w:tc>
      </w:tr>
      <w:tr>
        <w:trPr/>
        <w:tc>
          <w:tcPr>
            <w:tcW w:w="6045" w:type="dxa"/>
            <w:gridSpan w:val="4"/>
            <w:tcBorders/>
            <w:vAlign w:val="center"/>
          </w:tcPr>
          <w:p>
            <w:pPr>
              <w:pStyle w:val="TableContents"/>
              <w:bidi w:val="0"/>
              <w:spacing w:before="0" w:after="283"/>
              <w:jc w:val="left"/>
              <w:rPr>
                <w:sz w:val="20"/>
              </w:rPr>
            </w:pPr>
            <w:r>
              <w:rPr>
                <w:sz w:val="20"/>
              </w:rPr>
              <w:t>Date: May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13905d1_ex99-1.htm"/>
      <w:bookmarkStart w:id="3" w:name="kstm2613905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 Reports First Quarter 2026 Unaudited Financial Results</w:t>
      </w:r>
    </w:p>
    <w:p>
      <w:pPr>
        <w:pStyle w:val="TextBody"/>
        <w:bidi w:val="0"/>
        <w:spacing w:before="0" w:after="0"/>
        <w:ind w:left="0" w:right="0" w:hanging="0"/>
        <w:jc w:val="left"/>
        <w:rPr>
          <w:caps w:val="false"/>
          <w:smallCaps w:val="false"/>
        </w:rPr>
      </w:pPr>
      <w:r>
        <w:rPr>
          <w:caps w:val="false"/>
          <w:smallCaps w:val="false"/>
        </w:rPr>
        <w:t> </w:t>
      </w:r>
    </w:p>
    <w:tbl>
      <w:tblPr>
        <w:tblW w:w="8043" w:type="dxa"/>
        <w:jc w:val="left"/>
        <w:tblInd w:w="0" w:type="dxa"/>
        <w:tblLayout w:type="fixed"/>
        <w:tblCellMar>
          <w:top w:w="0" w:type="dxa"/>
          <w:left w:w="0" w:type="dxa"/>
          <w:bottom w:w="0" w:type="dxa"/>
          <w:right w:w="0" w:type="dxa"/>
        </w:tblCellMar>
      </w:tblPr>
      <w:tblGrid>
        <w:gridCol w:w="38"/>
        <w:gridCol w:w="95"/>
        <w:gridCol w:w="79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10"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 total of 2,088 hotels, or 232,298 hotel rooms, in operation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Net revenues for the first quarter of 2026 increased by 47.5% year-over-year to RMB2,811 million (US$408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Net income for the first quarter of 2026 increased by 90.3% year-over-year to RMB463 million (US$67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Adjusted net income (non-GAAP)</w:t>
            </w:r>
            <w:r>
              <w:rPr>
                <w:rFonts w:ascii="Times New Roman;Times;Serif" w:hAnsi="Times New Roman;Times;Serif"/>
                <w:i/>
                <w:position w:val="8"/>
                <w:sz w:val="19"/>
              </w:rPr>
              <w:t>1</w:t>
            </w:r>
            <w:r>
              <w:rPr>
                <w:rFonts w:ascii="Times New Roman;Times;Serif" w:hAnsi="Times New Roman;Times;Serif"/>
                <w:i/>
              </w:rPr>
              <w:t xml:space="preserve"> for the first quarter of 2026 increased by 42.0% year-over-year to RMB490 million (US$71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EBITDA (non-GAAP)</w:t>
            </w:r>
            <w:r>
              <w:rPr>
                <w:rFonts w:ascii="Times New Roman;Times;Serif" w:hAnsi="Times New Roman;Times;Serif"/>
                <w:i/>
                <w:position w:val="8"/>
                <w:sz w:val="19"/>
              </w:rPr>
              <w:t>2</w:t>
            </w:r>
            <w:r>
              <w:rPr>
                <w:rFonts w:ascii="Times New Roman;Times;Serif" w:hAnsi="Times New Roman;Times;Serif"/>
                <w:i/>
              </w:rPr>
              <w:t xml:space="preserve"> for the first quarter of 2026 increased by 85.2% year-over-year to RMB689 million (US$100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i/>
              </w:rPr>
            </w:pPr>
            <w:r>
              <w:rPr>
                <w:rFonts w:ascii="Times New Roman;Times;Serif" w:hAnsi="Times New Roman;Times;Serif"/>
                <w:i/>
              </w:rPr>
              <w:t>Adjusted EBITDA (non-GAAP)</w:t>
            </w:r>
            <w:r>
              <w:rPr>
                <w:rFonts w:ascii="Times New Roman;Times;Serif" w:hAnsi="Times New Roman;Times;Serif"/>
                <w:i/>
                <w:position w:val="8"/>
                <w:sz w:val="19"/>
              </w:rPr>
              <w:t>3</w:t>
            </w:r>
            <w:r>
              <w:rPr>
                <w:rFonts w:ascii="Times New Roman;Times;Serif" w:hAnsi="Times New Roman;Times;Serif"/>
                <w:i/>
              </w:rPr>
              <w:t xml:space="preserve"> for the first quarter of 2026 increased by 51.1% year-over-year to RMB716 million (US$104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May 13, 2026 -- Atour Lifestyle Holdings Limited (“Atour” or the “Company”) (NASDAQ: ATAT), a leading lifestyle group in China, today announced its unaudited financial results for the first quarter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of 2026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there were 2,088 hotels with a total of 232,298 hotel rooms in operation across Atour’s hotel network, representing rapid increases of 20.9% and 19.4% year-over-year in terms of the number of hotels and hotel rooms, respectively. As of March 31, 2026, there were 751 manachised hotels under development in 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daily room rate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(“ADR”) was RMB427 for the first quarter of 2026, compared with RMB418 for the same period of 2025 and RMB426 for the previous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occupancy rate</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was 70.6% for the first quarter of 2026, compared with 70.2% for the same period of 2025 and 76.1% for the previous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Adjusted net income (non-GAAP) is defined as net income excluding share-based compensation expenses.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EBITDA (non-GAAP) is defined as earnings before interest expense, interest income, income tax expense and depreciation and amortization.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Adjusted EBITDA (non-GAAP) is defined as EBITDA excluding share-based compensation expenses.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Excludes hotel rooms that became unavailable due to temporary hotel closures. ADR and RevPAR are calculated based on tax-inclusive room rates.</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ADR” refers to the average daily room rate, which means room revenue divided by the number of rooms in use for a given period;</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Occupancy rate” refers to the number of rooms in use divided by the number of available rooms for a given period;</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RevPAR” refers to revenue per available room, which is calculated by total revenues during a period divided by the number of available rooms of our hotels during the same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per available room</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(“RevPAR”) was RMB312 for the first quarter of 2026, compared with RMB304 for the same period of 2025 and RMB336 for the previous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revenue generated from our retail business was RMB1,071 million for the first quarter of 2026, representing an increase of 54.4%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the first quarter of 2026, we delivered steady performance across both our hotel and retail businesses,” said Mr. Haijun Wang, Founder, Chairman and CEO of Atour. “For our hotel business, hotel performance continued to improve sequentially. Adhering to our ‘quality-first’ principle, we opened 110 new hotels in the first quarter while continuously reinforcing the distinct competitive advantages of each of our hotel brands. Our retail business sustained strong growth momentum, with retail revenue reaching RMB1.07 billion in the first quarter, up 54% year-over-year. Atour Planet remained focused on innovation, continuously launching new iterations that further validated our brand and product strength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guided by our new strategy of ‘Chinese Experience, Brand-Led Excellence,’ we will firmly seize the innovation opportunities arising from industry transformation, and convert these opportunities into sustainable, long-term growth drivers. At the same time, we will stay true to our founding aspirations, continuously fulfill our corporate responsibilities, and steadily advance toward our long-term vision of ‘A Timeless Atour, Warmth Along Every Journey,’ and make steadfast and warm contributions to the industry and to society,” Mr. Wang concluded.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First Quarter of 2026 Unaudited Financial Results</w:t>
      </w:r>
    </w:p>
    <w:p>
      <w:pPr>
        <w:pStyle w:val="TextBody"/>
        <w:bidi w:val="0"/>
        <w:spacing w:before="0" w:after="0"/>
        <w:ind w:left="0" w:right="0" w:hanging="0"/>
        <w:jc w:val="left"/>
        <w:rPr>
          <w:caps w:val="false"/>
          <w:smallCaps w:val="false"/>
        </w:rPr>
      </w:pPr>
      <w:r>
        <w:rPr>
          <w:caps w:val="false"/>
          <w:smallCaps w:val="false"/>
        </w:rPr>
        <w:t> </w:t>
      </w:r>
    </w:p>
    <w:tbl>
      <w:tblPr>
        <w:tblW w:w="3750" w:type="dxa"/>
        <w:jc w:val="left"/>
        <w:tblInd w:w="0" w:type="dxa"/>
        <w:tblLayout w:type="fixed"/>
        <w:tblCellMar>
          <w:top w:w="0" w:type="dxa"/>
          <w:left w:w="0" w:type="dxa"/>
          <w:bottom w:w="0" w:type="dxa"/>
          <w:right w:w="0" w:type="dxa"/>
        </w:tblCellMar>
      </w:tblPr>
      <w:tblGrid>
        <w:gridCol w:w="1685"/>
        <w:gridCol w:w="60"/>
        <w:gridCol w:w="60"/>
        <w:gridCol w:w="845"/>
        <w:gridCol w:w="60"/>
        <w:gridCol w:w="60"/>
        <w:gridCol w:w="60"/>
        <w:gridCol w:w="845"/>
        <w:gridCol w:w="75"/>
      </w:tblGrid>
      <w:tr>
        <w:trPr/>
        <w:tc>
          <w:tcPr>
            <w:tcW w:w="1685" w:type="dxa"/>
            <w:tcBorders/>
            <w:vAlign w:val="center"/>
          </w:tcPr>
          <w:p>
            <w:pPr>
              <w:pStyle w:val="TableContents"/>
              <w:bidi w:val="0"/>
              <w:spacing w:before="0" w:after="283"/>
              <w:jc w:val="left"/>
              <w:rPr>
                <w:sz w:val="20"/>
              </w:rPr>
            </w:pPr>
            <w:r>
              <w:rPr>
                <w:sz w:val="20"/>
              </w:rPr>
              <w:t>(RMB 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1,032,183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1,568,048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693,779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1,071,199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1,905,814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2,811,241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revenues. </w:t>
      </w:r>
      <w:r>
        <w:rPr>
          <w:rFonts w:ascii="Times New Roman;Times;Serif" w:hAnsi="Times New Roman;Times;Serif"/>
          <w:b w:val="false"/>
          <w:i w:val="false"/>
          <w:caps w:val="false"/>
          <w:smallCaps w:val="false"/>
          <w:sz w:val="20"/>
        </w:rPr>
        <w:t>Our net revenues for the first quarter of 2026 increased by 47.5% to RMB2,811 million (US$408 million) from RMB1,906 million for the same period of 2025. The increase was mainly driven by growth in the manachised hotel and retail businesses.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Manachised hotels.</w:t>
            </w:r>
            <w:r>
              <w:rPr/>
              <w:t xml:space="preserve"> Revenues from our manachised hotels for the first quarter of 2026 increased by 51.9% to RMB1,568 million (US$227 million) from RMB1,032 million for the same period of 2025. The increase was primarily driven by our ongoing hotel network expansion and supply chain business development. The total number of our manachised hotels increased from 1,702 as of March 31, 2025 to 2,069 as of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Leased hotels.</w:t>
            </w:r>
            <w:r>
              <w:rPr/>
              <w:t xml:space="preserve"> Revenues from our leased hotels for the first quarter of 2026 decreased by 8.0% to RMB118 million (US$17 million) from RMB129 million for the same period of 2025. The decrease was primarily due to the decrease in the number of leased hotels as a result of our product mix optimization. The total number of our leased hotels decreased from 25 as of March 31, 2025 to 19 as of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Retail.</w:t>
            </w:r>
            <w:r>
              <w:rPr/>
              <w:t xml:space="preserve"> Revenues from retail for the first quarter of 2026 increased by 54.4% to RMB1,071 million (US$155 million) from RMB694 million for the same period of 2025. The increase was driven by growing recognition of our retail brands and effective product innovation and development as we successfully broadened our product offerings.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Others.</w:t>
            </w:r>
            <w:r>
              <w:rPr/>
              <w:t xml:space="preserve"> Revenues from others for the first quarter of 2026 increased by 4.7% to RMB54 million (US$8 million) from RMB51 million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3260"/>
        <w:gridCol w:w="60"/>
        <w:gridCol w:w="60"/>
        <w:gridCol w:w="905"/>
        <w:gridCol w:w="80"/>
        <w:gridCol w:w="60"/>
        <w:gridCol w:w="60"/>
        <w:gridCol w:w="905"/>
        <w:gridCol w:w="95"/>
      </w:tblGrid>
      <w:tr>
        <w:trPr/>
        <w:tc>
          <w:tcPr>
            <w:tcW w:w="3260" w:type="dxa"/>
            <w:tcBorders/>
            <w:vAlign w:val="center"/>
          </w:tcPr>
          <w:p>
            <w:pPr>
              <w:pStyle w:val="TableContents"/>
              <w:bidi w:val="0"/>
              <w:spacing w:before="0" w:after="283"/>
              <w:jc w:val="left"/>
              <w:rPr>
                <w:sz w:val="20"/>
              </w:rPr>
            </w:pPr>
            <w:r>
              <w:rPr>
                <w:sz w:val="20"/>
              </w:rPr>
              <w:t>(RMB in thousands)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(736,145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(1,136,368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(337,426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(507,260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(401,164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(50,411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2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(1,565,290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(2,239,545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Operating costs and expenses </w:t>
      </w:r>
      <w:r>
        <w:rPr>
          <w:rFonts w:ascii="Times New Roman;Times;Serif" w:hAnsi="Times New Roman;Times;Serif"/>
          <w:b w:val="false"/>
          <w:i w:val="false"/>
          <w:caps w:val="false"/>
          <w:smallCaps w:val="false"/>
          <w:sz w:val="20"/>
        </w:rPr>
        <w:t>for the first quarter of 2026 were RMB2,240 million (US$325 million), including RMB26 million share-based compensation expenses, compared with RMB1,565 million, including RMB102 million share-based compensation expenses for the same period of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Hotel operating costs</w:t>
            </w:r>
            <w:r>
              <w:rPr/>
              <w:t xml:space="preserve"> for the first quarter of 2026 were RMB1,136 million (US$165 million), compared with RMB736 million for the same period of 2025. The increase was mainly due to the increase in variable costs, such as supply chain costs and hotel manager costs, associated with our ongoing hotel network expansion. Hotel operating costs accounted for 67.4% of manachised and leased hotels’ revenues for the first quarter of 2026, compared with 63.4% for the same period of 2025. The increase was mainly due to supply chain business development.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Retail costs</w:t>
            </w:r>
            <w:r>
              <w:rPr/>
              <w:t xml:space="preserve"> for the first quarter of 2026 were RMB507 million (US$74 million), compared with RMB337 million for the same period of 2025. The increase was associated with the rapid growth of our retail business. Retail costs accounted for 47.4% of retail revenues for the first quarter of 2026, compared with 48.6% for the same period of 2025. The decrease was attributable to the increasing contribution from higher-margin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Other operating costs</w:t>
            </w:r>
            <w:r>
              <w:rPr/>
              <w:t xml:space="preserve"> for the first quarter of 2026 were RMB4 million (US$0.6 million), compared with RMB8 million for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Selling and marketing expenses</w:t>
            </w:r>
            <w:r>
              <w:rPr/>
              <w:t xml:space="preserve"> for the first quarter of 2026 were RMB401 million (US$58 million), compared with RMB283 million for the same period of 2025. The increase was mainly due to our enhanced investment in branding and the effective development of online channels, aligned with the growth of our retail business. Selling and marketing expenses accounted for 14.3% of net revenues for the first quarter of 2026, compared with 14.8%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General and administrative expenses</w:t>
            </w:r>
            <w:r>
              <w:rPr/>
              <w:t xml:space="preserve"> for the first quarter of 2026 were RMB140 million (US$20 million), including RMB21 million share-based compensation expenses, compared with RMB162 million, including RMB84 million share-based compensation expenses for the same period of 2025. Excluding the share-based compensation expenses, the increase was primarily due to an increase in labor costs. General and administrative expenses, excluding share-based compensation expenses, accounted for 4.2% of net revenues for the first quarter of 2026, compared with 4.1% for the same period of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pPr>
            <w:r>
              <w:rPr>
                <w:i/>
              </w:rPr>
              <w:t>Technology and development expenses</w:t>
            </w:r>
            <w:r>
              <w:rPr/>
              <w:t xml:space="preserve"> for the first quarter of 2026 were RMB50 million (US$7 million), compared with RMB39 million for the same period of 2025. The increase was mainly attributable to our increased investments in technology systems and infrastructure to support our expanding hotel network and retail business, and to improve customer experience. Technology and development expenses accounted for 1.8% of net revenues for the first quarter of 2026, compared with 2.1% for the same period of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operating income, net </w:t>
      </w:r>
      <w:r>
        <w:rPr>
          <w:rFonts w:ascii="Times New Roman;Times;Serif" w:hAnsi="Times New Roman;Times;Serif"/>
          <w:b w:val="false"/>
          <w:i w:val="false"/>
          <w:caps w:val="false"/>
          <w:smallCaps w:val="false"/>
          <w:sz w:val="20"/>
        </w:rPr>
        <w:t>for the first quarter of 2026 was RMB91 million (US$13 million), compared with RMB15 million for the same period of 2025. The increase was mainly due to an increase in income from government subsidies.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from operations </w:t>
      </w:r>
      <w:r>
        <w:rPr>
          <w:rFonts w:ascii="Times New Roman;Times;Serif" w:hAnsi="Times New Roman;Times;Serif"/>
          <w:b w:val="false"/>
          <w:i w:val="false"/>
          <w:caps w:val="false"/>
          <w:smallCaps w:val="false"/>
          <w:sz w:val="20"/>
        </w:rPr>
        <w:t>for the first quarter of 2026 was RMB663 million (US$96 million), compared with RMB355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Income tax expense </w:t>
      </w:r>
      <w:r>
        <w:rPr>
          <w:rFonts w:ascii="Times New Roman;Times;Serif" w:hAnsi="Times New Roman;Times;Serif"/>
          <w:b w:val="false"/>
          <w:i w:val="false"/>
          <w:caps w:val="false"/>
          <w:smallCaps w:val="false"/>
          <w:sz w:val="20"/>
        </w:rPr>
        <w:t>for the first quarter of 2026 was RMB219 million (US$32 million), compared with RMB134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income </w:t>
      </w:r>
      <w:r>
        <w:rPr>
          <w:rFonts w:ascii="Times New Roman;Times;Serif" w:hAnsi="Times New Roman;Times;Serif"/>
          <w:b w:val="false"/>
          <w:i w:val="false"/>
          <w:caps w:val="false"/>
          <w:smallCaps w:val="false"/>
          <w:sz w:val="20"/>
        </w:rPr>
        <w:t>for the first quarter of 2026 was RMB463 million (US$67 million), representing an increase of 90.3% compared with RMB244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net income (non-GAAP)</w:t>
      </w:r>
      <w:r>
        <w:rPr>
          <w:rFonts w:ascii="Times New Roman;Times;Serif" w:hAnsi="Times New Roman;Times;Serif"/>
          <w:b w:val="false"/>
          <w:i w:val="false"/>
          <w:caps w:val="false"/>
          <w:smallCaps w:val="false"/>
          <w:sz w:val="20"/>
        </w:rPr>
        <w:t xml:space="preserve"> for the first quarter of 2026 was RMB490 million (US$71 million), representing an increase of 42.0% compared with RMB345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and diluted income per share/American depositary share (ADS). </w:t>
      </w:r>
      <w:r>
        <w:rPr>
          <w:rFonts w:ascii="Times New Roman;Times;Serif" w:hAnsi="Times New Roman;Times;Serif"/>
          <w:b w:val="false"/>
          <w:i w:val="false"/>
          <w:caps w:val="false"/>
          <w:smallCaps w:val="false"/>
          <w:sz w:val="20"/>
        </w:rPr>
        <w:t>For the first quarter of 2026, basic income per share was RMB1.13 (US$0.16), and diluted income per share was RMB1.11 (US$0.16). For the first quarter of 2026, basic income per ADS was RMB3.39 (US$0.48), and diluted income per ADS was RMB3.33 (US$0.48).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EBITDA (non-GAAP) </w:t>
      </w:r>
      <w:r>
        <w:rPr>
          <w:rFonts w:ascii="Times New Roman;Times;Serif" w:hAnsi="Times New Roman;Times;Serif"/>
          <w:b w:val="false"/>
          <w:i w:val="false"/>
          <w:caps w:val="false"/>
          <w:smallCaps w:val="false"/>
          <w:sz w:val="20"/>
        </w:rPr>
        <w:t>for the first quarter of 2026 was RMB689 million (US$100 million), representing an increase of 85.2% compared with RMB372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 (non-GAAP)</w:t>
      </w:r>
      <w:r>
        <w:rPr>
          <w:rFonts w:ascii="Times New Roman;Times;Serif" w:hAnsi="Times New Roman;Times;Serif"/>
          <w:b w:val="false"/>
          <w:i w:val="false"/>
          <w:caps w:val="false"/>
          <w:smallCaps w:val="false"/>
          <w:sz w:val="20"/>
        </w:rPr>
        <w:t xml:space="preserve"> for the first quarter of 2026 was RMB716 million (US$104 million), representing an increase of 51.1% compared with RMB474 million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Cash flows.</w:t>
      </w:r>
      <w:r>
        <w:rPr>
          <w:rFonts w:ascii="Times New Roman;Times;Serif" w:hAnsi="Times New Roman;Times;Serif"/>
          <w:b w:val="false"/>
          <w:i w:val="false"/>
          <w:caps w:val="false"/>
          <w:smallCaps w:val="false"/>
          <w:sz w:val="20"/>
        </w:rPr>
        <w:t xml:space="preserve"> Operating cash inflow for the first quarter of 2026 was RMB292 million (US$42 million). Investing cash inflow for the first quarter of 2026 was RMB495 million (US$72 million). Financing cash outflow for the first quarter of 2026 was RMB399 million (US$58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and cash equivalents and restricted cash. </w:t>
      </w:r>
      <w:r>
        <w:rPr>
          <w:rFonts w:ascii="Times New Roman;Times;Serif" w:hAnsi="Times New Roman;Times;Serif"/>
          <w:b w:val="false"/>
          <w:i w:val="false"/>
          <w:caps w:val="false"/>
          <w:smallCaps w:val="false"/>
          <w:sz w:val="20"/>
        </w:rPr>
        <w:t>As of March 31, 2026, the Company had a total balance of cash and cash equivalents and restricted cash of RMB3.7 billion (US$536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Debt financing. </w:t>
      </w:r>
      <w:r>
        <w:rPr>
          <w:rFonts w:ascii="Times New Roman;Times;Serif" w:hAnsi="Times New Roman;Times;Serif"/>
          <w:b w:val="false"/>
          <w:i w:val="false"/>
          <w:caps w:val="false"/>
          <w:smallCaps w:val="false"/>
          <w:sz w:val="20"/>
        </w:rPr>
        <w:t>As of March 31, 2026, the Company had total outstanding borrowings of RMB242 million (US$35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full year of 2026, the Company currently expects total net revenues to increase by 24% to 28% compared with the full year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outlook is based on current market conditions and the Company’s preliminary estimates, which are subject to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at 7:00 AM U.S. Eastern time on Wednesday, May 13, 2026 (or 7:00 PM Beijing/Hong Kong time on the same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live webcast of the conference call will be available on the Company’s investor relations website at </w:t>
      </w:r>
      <w:r>
        <w:rPr>
          <w:rFonts w:ascii="Times New Roman;Times;Serif" w:hAnsi="Times New Roman;Times;Serif"/>
          <w:b w:val="false"/>
          <w:i w:val="false"/>
          <w:caps w:val="false"/>
          <w:smallCaps w:val="false"/>
          <w:sz w:val="20"/>
          <w:u w:val="single"/>
        </w:rPr>
        <w:t>https://ir.yaduo.com</w:t>
      </w:r>
      <w:r>
        <w:rPr>
          <w:rFonts w:ascii="Times New Roman;Times;Serif" w:hAnsi="Times New Roman;Times;Serif"/>
          <w:b w:val="false"/>
          <w:i w:val="false"/>
          <w:caps w:val="false"/>
          <w:smallCaps w:val="false"/>
          <w:sz w:val="20"/>
        </w:rPr>
        <w:t>, and a replay of the webcast will be available following the session.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participants who wish to join the conference call via telephone, please pre-register using the link provided below. Upon registration, each participant will receive a set of participant dial-in numbers and a personal PIN to join the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for the conference call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Title: Atour First Quarter of 2026 Earnings Conference Call</w:t>
        <w:br/>
        <w:t xml:space="preserve">Pre-registration Link: </w:t>
      </w:r>
      <w:r>
        <w:rPr>
          <w:rFonts w:ascii="Times New Roman;Times;Serif" w:hAnsi="Times New Roman;Times;Serif"/>
          <w:b w:val="false"/>
          <w:i w:val="false"/>
          <w:caps w:val="false"/>
          <w:smallCaps w:val="false"/>
          <w:sz w:val="20"/>
          <w:u w:val="single"/>
        </w:rPr>
        <w:t>https://register-conf.media-server.com/register/BI88285037264a43bb9a3a16fdd4a74f86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supplement the Company’s unaudited consolidated financial results presented in accordance with U.S. Generally-Accepted Accounting Principles (“GAAP”), the Company uses the following non-GAAP measures defined as non-GAAP financial measures by the U.S. Securities and Exchange Commission: adjusted net income, which is defined as net income excluding share-based compensation expenses; adjusted net income per ordinary share - Diluted, which is defined as net income attributable to the Company excluding share-based compensation expenses divided by the number of weighted average ordinary shares used in calculating net income per ordinary share - Diluted; EBITDA, which is defined as earnings before interest income, interest expense, income tax expense and depreciation and amortization; adjusted EBITDA, which is defined as EBITDA excluding share-based compensation expenses. The presentation of these non-GAAP financial measures is not intended to be considered in isolation or as a substitute for the financial information prepared and presented in accordance with U.S. GAAP. For more information on these non-GAAP financial measures, please see the table captioned “Reconciliations of GAAP and non-GAAP results” set forth at the end of this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EBITDA is widely used by other companies in the hospitality industry and may be used by investors as a measure of the financial performance. Given the significant investments that the Company has made in leasehold improvements and other fixed assets of leased hotels, depreciation and amortization comprises a significant portion of the Company’s cost structure. The Company believes that EBITDA will provide investors with a useful tool for comparability between periods because it eliminates depreciation and amortization attributable to capital expenditures. Adjusted net income, adjusted net income per ordinary share – Diluted, and adjusted EBITDA provide meaningful supplemental information regarding the Company’s performance by excluding share-based compensation expenses, as the investors can better understand the Company’s performance and compare business trends among different reporting periods on a consistent basis. The Company believes that both management and investors benefit from referring to these non-GAAP financial measures in assessing the Company’s performance and when planning and forecasting future periods. These non-GAAP financial measures also facilitate management’s internal comparisons to the Company’s historical performance. The Company believes these non-GAAP financial measures are also useful to investors in allowing for greater transparency with respect to supplemental information used regularly by Company management in financial and operational decision-making. The accompanying tables provide more details on the reconciliations between GAAP financial measures that are most directly comparable to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these non-GAAP measures has certain limitations, as the excluded items have been and will be incurred, and are not reflected in the presentation of these non-GAAP measures. Each of these items should also be considered in the overall evaluation of the results. The Company compensates for these limitations by providing the disclosure of the relevant items both in its reconciliations to the U.S. GAAP financial measures and in its consolidated financial statements, all of which should be considered when evaluating the performance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these measures may not be comparable to similarly titled measures utilized by other companies, as these companies may not calculate these measures in the same manner as the Company does.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Atour Lifestyle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Lifestyle Holdings Limited (NASDAQ: ATAT) is a leading lifestyle group in China that operates both hospitality and retail businesses. As a leader in quality living, Atour is dedicated to creating an intimate ambiance where people can warmly connect. Guided by its people-serving philosophy, Atour continuously refines its products and services to curate exceptional experiences for every user.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https://ir.yaduo.com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Lifestyle Holdings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ir@yaduo.com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atour@christensencomms.com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Financial Tables and Operational Data Follow—</w:t>
      </w:r>
    </w:p>
    <w:p>
      <w:pPr>
        <w:pStyle w:val="TextBody"/>
        <w:bidi w:val="0"/>
        <w:spacing w:before="0" w:after="0"/>
        <w:ind w:left="0" w:right="0" w:hanging="0"/>
        <w:jc w:val="left"/>
        <w:rPr>
          <w:caps w:val="false"/>
          <w:smallCaps w:val="false"/>
        </w:rPr>
      </w:pPr>
      <w:r>
        <w:rPr>
          <w:caps w:val="false"/>
          <w:smallCaps w:val="false"/>
        </w:rPr>
        <w:t> </w:t>
      </w:r>
    </w:p>
    <w:tbl>
      <w:tblPr>
        <w:tblW w:w="7112" w:type="dxa"/>
        <w:jc w:val="left"/>
        <w:tblInd w:w="0" w:type="dxa"/>
        <w:tblLayout w:type="fixed"/>
        <w:tblCellMar>
          <w:top w:w="0" w:type="dxa"/>
          <w:left w:w="0" w:type="dxa"/>
          <w:bottom w:w="0" w:type="dxa"/>
          <w:right w:w="0" w:type="dxa"/>
        </w:tblCellMar>
      </w:tblPr>
      <w:tblGrid>
        <w:gridCol w:w="1184"/>
        <w:gridCol w:w="944"/>
        <w:gridCol w:w="944"/>
        <w:gridCol w:w="944"/>
        <w:gridCol w:w="944"/>
        <w:gridCol w:w="944"/>
        <w:gridCol w:w="1208"/>
      </w:tblGrid>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ATOUR LIFESTYLE HOLDINGS LIMITED</w:t>
            </w:r>
          </w:p>
        </w:tc>
      </w:tr>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 CONDENSED CONSOLIDATED BALANCE SHEETS</w:t>
            </w:r>
          </w:p>
        </w:tc>
      </w:tr>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amounts in thousands, except share data and per share data, or otherwise noted)</w:t>
            </w:r>
          </w:p>
        </w:tc>
      </w:tr>
      <w:tr>
        <w:trPr/>
        <w:tc>
          <w:tcPr>
            <w:tcW w:w="1184" w:type="dxa"/>
            <w:tcBorders/>
            <w:vAlign w:val="center"/>
          </w:tcPr>
          <w:p>
            <w:pPr>
              <w:pStyle w:val="TableContents"/>
              <w:bidi w:val="0"/>
              <w:spacing w:before="0" w:after="283"/>
              <w:jc w:val="center"/>
              <w:rPr/>
            </w:pPr>
            <w:r>
              <w:rPr/>
              <w:t> </w:t>
            </w:r>
          </w:p>
        </w:tc>
        <w:tc>
          <w:tcPr>
            <w:tcW w:w="944" w:type="dxa"/>
            <w:tcBorders/>
            <w:vAlign w:val="center"/>
          </w:tcPr>
          <w:p>
            <w:pPr>
              <w:pStyle w:val="TableContents"/>
              <w:bidi w:val="0"/>
              <w:spacing w:before="0" w:after="283"/>
              <w:jc w:val="center"/>
              <w:rPr/>
            </w:pPr>
            <w:r>
              <w:rPr/>
              <w:t> </w:t>
            </w:r>
          </w:p>
        </w:tc>
        <w:tc>
          <w:tcPr>
            <w:tcW w:w="944" w:type="dxa"/>
            <w:tcBorders/>
            <w:vAlign w:val="center"/>
          </w:tcPr>
          <w:p>
            <w:pPr>
              <w:pStyle w:val="TableContents"/>
              <w:bidi w:val="0"/>
              <w:spacing w:before="0" w:after="283"/>
              <w:jc w:val="center"/>
              <w:rPr/>
            </w:pPr>
            <w:r>
              <w:rPr/>
              <w:t> </w:t>
            </w:r>
          </w:p>
        </w:tc>
        <w:tc>
          <w:tcPr>
            <w:tcW w:w="944" w:type="dxa"/>
            <w:tcBorders/>
            <w:vAlign w:val="center"/>
          </w:tcPr>
          <w:p>
            <w:pPr>
              <w:pStyle w:val="TableContents"/>
              <w:bidi w:val="0"/>
              <w:spacing w:before="0" w:after="283"/>
              <w:jc w:val="center"/>
              <w:rPr/>
            </w:pPr>
            <w:r>
              <w:rPr/>
              <w:t> </w:t>
            </w:r>
          </w:p>
        </w:tc>
        <w:tc>
          <w:tcPr>
            <w:tcW w:w="944" w:type="dxa"/>
            <w:tcBorders/>
            <w:vAlign w:val="center"/>
          </w:tcPr>
          <w:p>
            <w:pPr>
              <w:pStyle w:val="TableContents"/>
              <w:bidi w:val="0"/>
              <w:spacing w:before="0" w:after="283"/>
              <w:jc w:val="center"/>
              <w:rPr/>
            </w:pPr>
            <w:r>
              <w:rPr/>
              <w:t> </w:t>
            </w:r>
          </w:p>
        </w:tc>
        <w:tc>
          <w:tcPr>
            <w:tcW w:w="944" w:type="dxa"/>
            <w:tcBorders/>
            <w:vAlign w:val="center"/>
          </w:tcPr>
          <w:p>
            <w:pPr>
              <w:pStyle w:val="TableContents"/>
              <w:bidi w:val="0"/>
              <w:spacing w:before="0" w:after="283"/>
              <w:jc w:val="center"/>
              <w:rPr/>
            </w:pPr>
            <w:r>
              <w:rPr/>
              <w:t> </w:t>
            </w:r>
          </w:p>
        </w:tc>
        <w:tc>
          <w:tcPr>
            <w:tcW w:w="1208" w:type="dxa"/>
            <w:tcBorders/>
            <w:vAlign w:val="center"/>
          </w:tcPr>
          <w:p>
            <w:pPr>
              <w:pStyle w:val="TableContents"/>
              <w:bidi w:val="0"/>
              <w:spacing w:before="0" w:after="283"/>
              <w:jc w:val="center"/>
              <w:rPr/>
            </w:pPr>
            <w:r>
              <w:rPr/>
              <w:t> </w:t>
            </w:r>
          </w:p>
        </w:tc>
      </w:tr>
    </w:tbl>
    <w:tbl>
      <w:tblPr>
        <w:tblW w:w="6889" w:type="dxa"/>
        <w:jc w:val="left"/>
        <w:tblInd w:w="0" w:type="dxa"/>
        <w:tblLayout w:type="fixed"/>
        <w:tblCellMar>
          <w:top w:w="0" w:type="dxa"/>
          <w:left w:w="0" w:type="dxa"/>
          <w:bottom w:w="0" w:type="dxa"/>
          <w:right w:w="0" w:type="dxa"/>
        </w:tblCellMar>
      </w:tblPr>
      <w:tblGrid>
        <w:gridCol w:w="3530"/>
        <w:gridCol w:w="60"/>
        <w:gridCol w:w="76"/>
        <w:gridCol w:w="1098"/>
        <w:gridCol w:w="60"/>
        <w:gridCol w:w="60"/>
        <w:gridCol w:w="60"/>
        <w:gridCol w:w="845"/>
        <w:gridCol w:w="60"/>
        <w:gridCol w:w="60"/>
        <w:gridCol w:w="60"/>
        <w:gridCol w:w="845"/>
        <w:gridCol w:w="75"/>
      </w:tblGrid>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174"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3,303,949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3,683,246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533,959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2,562,745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2,073,664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300,618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341,446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356,157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675,974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465,413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67,471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198,984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278,802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7,355,205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6,987,956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1,013,041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134,787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19,540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31,070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1,108,548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956,662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138,687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250,726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1,812,301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1,645,183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238,501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9,167,506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8,633,139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1,251,542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259,397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37,605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821,997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701,147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508,890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73,774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Salary and welfare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316,562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230,612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33,432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1,090,394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1,127,404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253,851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36,801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3,725,489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3,217,532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466,444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non-current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1,042,719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125,870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 non-current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526,439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569,897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borrowings, 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290,058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1,861,216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1,735,742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251,630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5,586,705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4,953,274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718,074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Translations of balances in the consolidated financial statements from RMB into US$ for the first quarter of 2026 and as of March 31, 2026 are solely for readers’ convenience and were calculated at the rate of US$1.00=RMB 6.8980, representing the exchange rate set forth in the H.10 statistical release of the Federal Reserve Board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112" w:type="dxa"/>
        <w:jc w:val="left"/>
        <w:tblInd w:w="0" w:type="dxa"/>
        <w:tblLayout w:type="fixed"/>
        <w:tblCellMar>
          <w:top w:w="0" w:type="dxa"/>
          <w:left w:w="0" w:type="dxa"/>
          <w:bottom w:w="0" w:type="dxa"/>
          <w:right w:w="0" w:type="dxa"/>
        </w:tblCellMar>
      </w:tblPr>
      <w:tblGrid>
        <w:gridCol w:w="1184"/>
        <w:gridCol w:w="944"/>
        <w:gridCol w:w="944"/>
        <w:gridCol w:w="944"/>
        <w:gridCol w:w="944"/>
        <w:gridCol w:w="944"/>
        <w:gridCol w:w="1208"/>
      </w:tblGrid>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ATOUR LIFESTYLE HOLDINGS LIMITED</w:t>
            </w:r>
          </w:p>
        </w:tc>
      </w:tr>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 CONDENSED CONSOLIDATED BALANCE SHEETS</w:t>
            </w:r>
          </w:p>
        </w:tc>
      </w:tr>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amounts in thousands, except share data and per share data, or otherwise noted)</w:t>
            </w:r>
          </w:p>
        </w:tc>
      </w:tr>
      <w:tr>
        <w:trPr/>
        <w:tc>
          <w:tcPr>
            <w:tcW w:w="1184"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 </w:t>
            </w:r>
          </w:p>
        </w:tc>
        <w:tc>
          <w:tcPr>
            <w:tcW w:w="944" w:type="dxa"/>
            <w:tcBorders/>
            <w:vAlign w:val="center"/>
          </w:tcPr>
          <w:p>
            <w:pPr>
              <w:pStyle w:val="TableContents"/>
              <w:bidi w:val="0"/>
              <w:spacing w:before="0" w:after="283"/>
              <w:jc w:val="right"/>
              <w:rPr/>
            </w:pPr>
            <w:r>
              <w:rPr/>
              <w:t> </w:t>
            </w:r>
          </w:p>
        </w:tc>
        <w:tc>
          <w:tcPr>
            <w:tcW w:w="944" w:type="dxa"/>
            <w:tcBorders/>
            <w:vAlign w:val="center"/>
          </w:tcPr>
          <w:p>
            <w:pPr>
              <w:pStyle w:val="TableContents"/>
              <w:bidi w:val="0"/>
              <w:spacing w:before="0" w:after="283"/>
              <w:jc w:val="right"/>
              <w:rPr/>
            </w:pPr>
            <w:r>
              <w:rPr/>
              <w:t> </w:t>
            </w:r>
          </w:p>
        </w:tc>
        <w:tc>
          <w:tcPr>
            <w:tcW w:w="944" w:type="dxa"/>
            <w:tcBorders/>
            <w:vAlign w:val="center"/>
          </w:tcPr>
          <w:p>
            <w:pPr>
              <w:pStyle w:val="TableContents"/>
              <w:bidi w:val="0"/>
              <w:spacing w:before="0" w:after="283"/>
              <w:jc w:val="right"/>
              <w:rPr/>
            </w:pPr>
            <w:r>
              <w:rPr/>
              <w:t> </w:t>
            </w:r>
          </w:p>
        </w:tc>
        <w:tc>
          <w:tcPr>
            <w:tcW w:w="1208" w:type="dxa"/>
            <w:tcBorders/>
            <w:vAlign w:val="center"/>
          </w:tcPr>
          <w:p>
            <w:pPr>
              <w:pStyle w:val="TableContents"/>
              <w:bidi w:val="0"/>
              <w:spacing w:before="0" w:after="283"/>
              <w:jc w:val="right"/>
              <w:rPr/>
            </w:pPr>
            <w:r>
              <w:rPr/>
              <w:t> </w:t>
            </w:r>
          </w:p>
        </w:tc>
      </w:tr>
    </w:tbl>
    <w:tbl>
      <w:tblPr>
        <w:tblW w:w="8269" w:type="dxa"/>
        <w:jc w:val="left"/>
        <w:tblInd w:w="0" w:type="dxa"/>
        <w:tblLayout w:type="fixed"/>
        <w:tblCellMar>
          <w:top w:w="0" w:type="dxa"/>
          <w:left w:w="0" w:type="dxa"/>
          <w:bottom w:w="0" w:type="dxa"/>
          <w:right w:w="0" w:type="dxa"/>
        </w:tblCellMar>
      </w:tblPr>
      <w:tblGrid>
        <w:gridCol w:w="4850"/>
        <w:gridCol w:w="60"/>
        <w:gridCol w:w="76"/>
        <w:gridCol w:w="1098"/>
        <w:gridCol w:w="80"/>
        <w:gridCol w:w="60"/>
        <w:gridCol w:w="60"/>
        <w:gridCol w:w="845"/>
        <w:gridCol w:w="80"/>
        <w:gridCol w:w="60"/>
        <w:gridCol w:w="60"/>
        <w:gridCol w:w="845"/>
        <w:gridCol w:w="95"/>
      </w:tblGrid>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(326,400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(177,462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 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1,758,365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1,253,432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181,709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2,195,519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2,658,873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385,456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attributable to shareholders of the Company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3,593,479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3,692,413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535,287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(12,678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3,580,801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3,679,865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533,468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9,167,506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8,633,139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1,251,542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371" w:type="dxa"/>
        <w:jc w:val="left"/>
        <w:tblInd w:w="0" w:type="dxa"/>
        <w:tblLayout w:type="fixed"/>
        <w:tblCellMar>
          <w:top w:w="0" w:type="dxa"/>
          <w:left w:w="0" w:type="dxa"/>
          <w:bottom w:w="0" w:type="dxa"/>
          <w:right w:w="0" w:type="dxa"/>
        </w:tblCellMar>
      </w:tblPr>
      <w:tblGrid>
        <w:gridCol w:w="1394"/>
        <w:gridCol w:w="1111"/>
        <w:gridCol w:w="1111"/>
        <w:gridCol w:w="1111"/>
        <w:gridCol w:w="1111"/>
        <w:gridCol w:w="1111"/>
        <w:gridCol w:w="1422"/>
      </w:tblGrid>
      <w:tr>
        <w:trPr/>
        <w:tc>
          <w:tcPr>
            <w:tcW w:w="8371"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ATOUR LIFESTYLE HOLDINGS LIMITED</w:t>
            </w:r>
          </w:p>
        </w:tc>
      </w:tr>
      <w:tr>
        <w:trPr/>
        <w:tc>
          <w:tcPr>
            <w:tcW w:w="8371"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 CONDENSED CONSOLIDATED STATEMENTS OF COMPREHENSIVE INCOME</w:t>
            </w:r>
          </w:p>
        </w:tc>
      </w:tr>
      <w:tr>
        <w:trPr/>
        <w:tc>
          <w:tcPr>
            <w:tcW w:w="8371"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amounts in thousands, except share data and per share data, or otherwise noted)</w:t>
            </w:r>
          </w:p>
        </w:tc>
      </w:tr>
      <w:tr>
        <w:trPr/>
        <w:tc>
          <w:tcPr>
            <w:tcW w:w="1394" w:type="dxa"/>
            <w:tcBorders/>
            <w:vAlign w:val="center"/>
          </w:tcPr>
          <w:p>
            <w:pPr>
              <w:pStyle w:val="TableContents"/>
              <w:bidi w:val="0"/>
              <w:spacing w:before="0" w:after="283"/>
              <w:jc w:val="center"/>
              <w:rPr/>
            </w:pPr>
            <w:r>
              <w:rPr/>
              <w:t> </w:t>
            </w:r>
          </w:p>
        </w:tc>
        <w:tc>
          <w:tcPr>
            <w:tcW w:w="1111" w:type="dxa"/>
            <w:tcBorders/>
            <w:vAlign w:val="center"/>
          </w:tcPr>
          <w:p>
            <w:pPr>
              <w:pStyle w:val="TableContents"/>
              <w:bidi w:val="0"/>
              <w:spacing w:before="0" w:after="283"/>
              <w:jc w:val="center"/>
              <w:rPr/>
            </w:pPr>
            <w:r>
              <w:rPr/>
              <w:t> </w:t>
            </w:r>
          </w:p>
        </w:tc>
        <w:tc>
          <w:tcPr>
            <w:tcW w:w="1111" w:type="dxa"/>
            <w:tcBorders/>
            <w:vAlign w:val="center"/>
          </w:tcPr>
          <w:p>
            <w:pPr>
              <w:pStyle w:val="TableContents"/>
              <w:bidi w:val="0"/>
              <w:spacing w:before="0" w:after="283"/>
              <w:jc w:val="right"/>
              <w:rPr/>
            </w:pPr>
            <w:r>
              <w:rPr/>
              <w:t> </w:t>
            </w:r>
          </w:p>
        </w:tc>
        <w:tc>
          <w:tcPr>
            <w:tcW w:w="1111" w:type="dxa"/>
            <w:tcBorders/>
            <w:vAlign w:val="center"/>
          </w:tcPr>
          <w:p>
            <w:pPr>
              <w:pStyle w:val="TableContents"/>
              <w:bidi w:val="0"/>
              <w:spacing w:before="0" w:after="283"/>
              <w:jc w:val="right"/>
              <w:rPr/>
            </w:pPr>
            <w:r>
              <w:rPr/>
              <w:t> </w:t>
            </w:r>
          </w:p>
        </w:tc>
        <w:tc>
          <w:tcPr>
            <w:tcW w:w="1111" w:type="dxa"/>
            <w:tcBorders/>
            <w:vAlign w:val="center"/>
          </w:tcPr>
          <w:p>
            <w:pPr>
              <w:pStyle w:val="TableContents"/>
              <w:bidi w:val="0"/>
              <w:spacing w:before="0" w:after="283"/>
              <w:jc w:val="right"/>
              <w:rPr/>
            </w:pPr>
            <w:r>
              <w:rPr/>
              <w:t> </w:t>
            </w:r>
          </w:p>
        </w:tc>
        <w:tc>
          <w:tcPr>
            <w:tcW w:w="1111" w:type="dxa"/>
            <w:tcBorders/>
            <w:vAlign w:val="center"/>
          </w:tcPr>
          <w:p>
            <w:pPr>
              <w:pStyle w:val="TableContents"/>
              <w:bidi w:val="0"/>
              <w:spacing w:before="0" w:after="283"/>
              <w:jc w:val="right"/>
              <w:rPr/>
            </w:pPr>
            <w:r>
              <w:rPr/>
              <w:t> </w:t>
            </w:r>
          </w:p>
        </w:tc>
        <w:tc>
          <w:tcPr>
            <w:tcW w:w="1422" w:type="dxa"/>
            <w:tcBorders/>
            <w:vAlign w:val="center"/>
          </w:tcPr>
          <w:p>
            <w:pPr>
              <w:pStyle w:val="TableContents"/>
              <w:bidi w:val="0"/>
              <w:spacing w:before="0" w:after="283"/>
              <w:jc w:val="right"/>
              <w:rPr/>
            </w:pPr>
            <w:r>
              <w:rPr/>
              <w:t> </w:t>
            </w:r>
          </w:p>
        </w:tc>
      </w:tr>
    </w:tbl>
    <w:tbl>
      <w:tblPr>
        <w:tblW w:w="10205" w:type="dxa"/>
        <w:jc w:val="left"/>
        <w:tblInd w:w="0" w:type="dxa"/>
        <w:tblLayout w:type="fixed"/>
        <w:tblCellMar>
          <w:top w:w="0" w:type="dxa"/>
          <w:left w:w="0" w:type="dxa"/>
          <w:bottom w:w="0" w:type="dxa"/>
          <w:right w:w="0" w:type="dxa"/>
        </w:tblCellMar>
      </w:tblPr>
      <w:tblGrid>
        <w:gridCol w:w="6425"/>
        <w:gridCol w:w="60"/>
        <w:gridCol w:w="60"/>
        <w:gridCol w:w="1055"/>
        <w:gridCol w:w="80"/>
        <w:gridCol w:w="60"/>
        <w:gridCol w:w="60"/>
        <w:gridCol w:w="1055"/>
        <w:gridCol w:w="80"/>
        <w:gridCol w:w="60"/>
        <w:gridCol w:w="60"/>
        <w:gridCol w:w="1055"/>
        <w:gridCol w:w="95"/>
      </w:tblGrid>
      <w:tr>
        <w:trPr/>
        <w:tc>
          <w:tcPr>
            <w:tcW w:w="6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1,032,183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1,568,048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227,319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128,563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693,779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1,071,199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155,291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1,905,814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2,811,241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407,544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costs and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Hotel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(736,145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(1,136,368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(164,739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(337,426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(507,260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(282,897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(401,164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(161,813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and development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(1,565,290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(2,239,545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(324,666</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operating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355,281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662,961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96,108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377,689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682,187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98,896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463,484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242,703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463,354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67,172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463,484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net of nil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comprehensive loss, net of nil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(9,355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(8,421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234,223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455,063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65,970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 attributable to the Company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233,348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454,933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65,951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ordinary shares used in calculating net income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425" w:type="dxa"/>
            <w:tcBorders/>
            <w:shd w:fill="FFFF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415,701,620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411,679,558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411,679,558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425" w:type="dxa"/>
            <w:tcBorders/>
            <w:shd w:fill="CCEEFF" w:val="cle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418,692,991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415,777,615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415,777,615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in thousands, except share data and per share data, or otherwise noted)</w:t>
      </w:r>
    </w:p>
    <w:p>
      <w:pPr>
        <w:pStyle w:val="TextBody"/>
        <w:bidi w:val="0"/>
        <w:spacing w:before="0" w:after="0"/>
        <w:jc w:val="center"/>
        <w:rPr>
          <w:caps w:val="false"/>
          <w:smallCaps w:val="false"/>
        </w:rPr>
      </w:pPr>
      <w:r>
        <w:rPr>
          <w:caps w:val="false"/>
          <w:smallCaps w:val="false"/>
        </w:rPr>
        <w:t> </w:t>
      </w:r>
    </w:p>
    <w:tbl>
      <w:tblPr>
        <w:tblW w:w="9725" w:type="dxa"/>
        <w:jc w:val="left"/>
        <w:tblInd w:w="0" w:type="dxa"/>
        <w:tblLayout w:type="fixed"/>
        <w:tblCellMar>
          <w:top w:w="0" w:type="dxa"/>
          <w:left w:w="0" w:type="dxa"/>
          <w:bottom w:w="0" w:type="dxa"/>
          <w:right w:w="0" w:type="dxa"/>
        </w:tblCellMar>
      </w:tblPr>
      <w:tblGrid>
        <w:gridCol w:w="6545"/>
        <w:gridCol w:w="60"/>
        <w:gridCol w:w="60"/>
        <w:gridCol w:w="905"/>
        <w:gridCol w:w="80"/>
        <w:gridCol w:w="60"/>
        <w:gridCol w:w="60"/>
        <w:gridCol w:w="905"/>
        <w:gridCol w:w="80"/>
        <w:gridCol w:w="60"/>
        <w:gridCol w:w="60"/>
        <w:gridCol w:w="755"/>
        <w:gridCol w:w="95"/>
      </w:tblGrid>
      <w:tr>
        <w:trPr/>
        <w:tc>
          <w:tcPr>
            <w:tcW w:w="6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2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2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292,325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42,378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disposal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purchases of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purchases of 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(4,192,460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(607,779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maturities of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3,129,996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4,693,336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680,391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generated from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(477,639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495,316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71,805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borrowings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borrowings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stock option exercises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share repurchases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(392,824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(56,948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generated from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(399,333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(57,891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exchange rate changes on cash and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 increase in cash and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(472,438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379,297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54,987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and restricted cash at the beginning of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3,619,630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3,320,172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481,324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 and restricted cash at the end of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3,147,192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3,699,469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536,311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112" w:type="dxa"/>
        <w:jc w:val="left"/>
        <w:tblInd w:w="0" w:type="dxa"/>
        <w:tblLayout w:type="fixed"/>
        <w:tblCellMar>
          <w:top w:w="0" w:type="dxa"/>
          <w:left w:w="0" w:type="dxa"/>
          <w:bottom w:w="0" w:type="dxa"/>
          <w:right w:w="0" w:type="dxa"/>
        </w:tblCellMar>
      </w:tblPr>
      <w:tblGrid>
        <w:gridCol w:w="1184"/>
        <w:gridCol w:w="944"/>
        <w:gridCol w:w="944"/>
        <w:gridCol w:w="944"/>
        <w:gridCol w:w="944"/>
        <w:gridCol w:w="944"/>
        <w:gridCol w:w="1208"/>
      </w:tblGrid>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ATOUR LIFESTYLE HOLDINGS LIMITED</w:t>
            </w:r>
          </w:p>
        </w:tc>
      </w:tr>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 RECONCILIATION OF GAAP AND NON-GAAP RESULTS</w:t>
            </w:r>
          </w:p>
        </w:tc>
      </w:tr>
      <w:tr>
        <w:trPr/>
        <w:tc>
          <w:tcPr>
            <w:tcW w:w="7112" w:type="dxa"/>
            <w:gridSpan w:val="7"/>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amounts in thousands, except share data and per share data, or otherwise noted)</w:t>
            </w:r>
          </w:p>
        </w:tc>
      </w:tr>
      <w:tr>
        <w:trPr/>
        <w:tc>
          <w:tcPr>
            <w:tcW w:w="1184" w:type="dxa"/>
            <w:tcBorders/>
            <w:vAlign w:val="center"/>
          </w:tcPr>
          <w:p>
            <w:pPr>
              <w:pStyle w:val="TableContents"/>
              <w:bidi w:val="0"/>
              <w:spacing w:before="0" w:after="283"/>
              <w:jc w:val="center"/>
              <w:rPr/>
            </w:pPr>
            <w:r>
              <w:rPr/>
              <w:t> </w:t>
            </w:r>
          </w:p>
        </w:tc>
        <w:tc>
          <w:tcPr>
            <w:tcW w:w="944"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 </w:t>
            </w:r>
          </w:p>
        </w:tc>
        <w:tc>
          <w:tcPr>
            <w:tcW w:w="944" w:type="dxa"/>
            <w:tcBorders/>
            <w:vAlign w:val="center"/>
          </w:tcPr>
          <w:p>
            <w:pPr>
              <w:pStyle w:val="TableContents"/>
              <w:bidi w:val="0"/>
              <w:spacing w:before="0" w:after="283"/>
              <w:jc w:val="right"/>
              <w:rPr/>
            </w:pPr>
            <w:r>
              <w:rPr/>
              <w:t> </w:t>
            </w:r>
          </w:p>
        </w:tc>
        <w:tc>
          <w:tcPr>
            <w:tcW w:w="944" w:type="dxa"/>
            <w:tcBorders/>
            <w:vAlign w:val="center"/>
          </w:tcPr>
          <w:p>
            <w:pPr>
              <w:pStyle w:val="TableContents"/>
              <w:bidi w:val="0"/>
              <w:spacing w:before="0" w:after="283"/>
              <w:jc w:val="right"/>
              <w:rPr/>
            </w:pPr>
            <w:r>
              <w:rPr/>
              <w:t> </w:t>
            </w:r>
          </w:p>
        </w:tc>
        <w:tc>
          <w:tcPr>
            <w:tcW w:w="944" w:type="dxa"/>
            <w:tcBorders/>
            <w:vAlign w:val="center"/>
          </w:tcPr>
          <w:p>
            <w:pPr>
              <w:pStyle w:val="TableContents"/>
              <w:bidi w:val="0"/>
              <w:spacing w:before="0" w:after="283"/>
              <w:jc w:val="right"/>
              <w:rPr/>
            </w:pPr>
            <w:r>
              <w:rPr/>
              <w:t> </w:t>
            </w:r>
          </w:p>
        </w:tc>
        <w:tc>
          <w:tcPr>
            <w:tcW w:w="1208" w:type="dxa"/>
            <w:tcBorders/>
            <w:vAlign w:val="center"/>
          </w:tcPr>
          <w:p>
            <w:pPr>
              <w:pStyle w:val="TableContents"/>
              <w:bidi w:val="0"/>
              <w:spacing w:before="0" w:after="283"/>
              <w:jc w:val="right"/>
              <w:rPr/>
            </w:pPr>
            <w:r>
              <w:rPr/>
              <w:t> </w:t>
            </w:r>
          </w:p>
        </w:tc>
      </w:tr>
    </w:tbl>
    <w:tbl>
      <w:tblPr>
        <w:tblW w:w="7564" w:type="dxa"/>
        <w:jc w:val="left"/>
        <w:tblInd w:w="0" w:type="dxa"/>
        <w:tblLayout w:type="fixed"/>
        <w:tblCellMar>
          <w:top w:w="0" w:type="dxa"/>
          <w:left w:w="0" w:type="dxa"/>
          <w:bottom w:w="0" w:type="dxa"/>
          <w:right w:w="0" w:type="dxa"/>
        </w:tblCellMar>
      </w:tblPr>
      <w:tblGrid>
        <w:gridCol w:w="4895"/>
        <w:gridCol w:w="60"/>
        <w:gridCol w:w="70"/>
        <w:gridCol w:w="819"/>
        <w:gridCol w:w="60"/>
        <w:gridCol w:w="60"/>
        <w:gridCol w:w="60"/>
        <w:gridCol w:w="695"/>
        <w:gridCol w:w="60"/>
        <w:gridCol w:w="60"/>
        <w:gridCol w:w="60"/>
        <w:gridCol w:w="590"/>
        <w:gridCol w:w="75"/>
      </w:tblGrid>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3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243,578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463,484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net of tax effect of nil</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345,127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489,967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8699" w:type="dxa"/>
        <w:jc w:val="left"/>
        <w:tblInd w:w="0" w:type="dxa"/>
        <w:tblLayout w:type="fixed"/>
        <w:tblCellMar>
          <w:top w:w="0" w:type="dxa"/>
          <w:left w:w="0" w:type="dxa"/>
          <w:bottom w:w="0" w:type="dxa"/>
          <w:right w:w="0" w:type="dxa"/>
        </w:tblCellMar>
      </w:tblPr>
      <w:tblGrid>
        <w:gridCol w:w="6395"/>
        <w:gridCol w:w="60"/>
        <w:gridCol w:w="121"/>
        <w:gridCol w:w="768"/>
        <w:gridCol w:w="68"/>
        <w:gridCol w:w="68"/>
        <w:gridCol w:w="68"/>
        <w:gridCol w:w="436"/>
        <w:gridCol w:w="68"/>
        <w:gridCol w:w="68"/>
        <w:gridCol w:w="68"/>
        <w:gridCol w:w="436"/>
        <w:gridCol w:w="75"/>
      </w:tblGrid>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114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68" w:type="dxa"/>
            <w:tcBorders/>
            <w:vAlign w:val="center"/>
          </w:tcPr>
          <w:p>
            <w:pPr>
              <w:pStyle w:val="TableContents"/>
              <w:bidi w:val="0"/>
              <w:spacing w:before="0" w:after="283"/>
              <w:jc w:val="left"/>
              <w:rPr>
                <w:caps w:val="false"/>
                <w:smallCaps w:val="false"/>
              </w:rPr>
            </w:pPr>
            <w:r>
              <w:rPr>
                <w:caps w:val="false"/>
                <w:smallCaps w:val="false"/>
              </w:rPr>
              <w:t> </w:t>
            </w:r>
          </w:p>
        </w:tc>
        <w:tc>
          <w:tcPr>
            <w:tcW w:w="50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3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per ordinary share - Diluted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0.58</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per ordinary share net of tax effect of nil</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net income per ordinary share - Diluted (non-GAAP)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0.82</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3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5809" w:type="dxa"/>
        <w:jc w:val="left"/>
        <w:tblInd w:w="0" w:type="dxa"/>
        <w:tblLayout w:type="fixed"/>
        <w:tblCellMar>
          <w:top w:w="0" w:type="dxa"/>
          <w:left w:w="0" w:type="dxa"/>
          <w:bottom w:w="0" w:type="dxa"/>
          <w:right w:w="0" w:type="dxa"/>
        </w:tblCellMar>
      </w:tblPr>
      <w:tblGrid>
        <w:gridCol w:w="2975"/>
        <w:gridCol w:w="60"/>
        <w:gridCol w:w="70"/>
        <w:gridCol w:w="819"/>
        <w:gridCol w:w="80"/>
        <w:gridCol w:w="60"/>
        <w:gridCol w:w="60"/>
        <w:gridCol w:w="695"/>
        <w:gridCol w:w="80"/>
        <w:gridCol w:w="60"/>
        <w:gridCol w:w="60"/>
        <w:gridCol w:w="695"/>
        <w:gridCol w:w="95"/>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7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USD</w:t>
            </w:r>
            <w:r>
              <w:rPr>
                <w:rFonts w:ascii="Times New Roman;Times;Serif" w:hAnsi="Times New Roman;Times;Serif"/>
                <w:b/>
                <w:i w:val="false"/>
                <w:caps w:val="false"/>
                <w:smallCaps w:val="false"/>
                <w:position w:val="7"/>
                <w:sz w:val="16"/>
                <w:sz w:val="20"/>
              </w:rPr>
              <w:t>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(GAAP)</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243,578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463,484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67,191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EBITDA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372,233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689,409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99,943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(non-GAAP)</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473,782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103,782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position w:val="7"/>
          <w:sz w:val="16"/>
          <w:sz w:val="20"/>
        </w:rPr>
        <w:t>2</w:t>
      </w:r>
      <w:r>
        <w:rPr>
          <w:rFonts w:ascii="Times New Roman;Times;Serif" w:hAnsi="Times New Roman;Times;Serif"/>
          <w:b w:val="false"/>
          <w:i/>
          <w:caps w:val="false"/>
          <w:smallCaps w:val="false"/>
          <w:sz w:val="20"/>
        </w:rPr>
        <w:t xml:space="preserve"> The share-based compensation expenses were recorded at entities in PRC. Share-based compensation expenses were non-deductible expenses in PRC. Therefore, there is no tax impact for share-based compensation expenses adjustment for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Data</w:t>
      </w:r>
    </w:p>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1565"/>
        <w:gridCol w:w="60"/>
        <w:gridCol w:w="249"/>
        <w:gridCol w:w="1390"/>
        <w:gridCol w:w="61"/>
        <w:gridCol w:w="61"/>
        <w:gridCol w:w="323"/>
        <w:gridCol w:w="1241"/>
        <w:gridCol w:w="61"/>
        <w:gridCol w:w="61"/>
        <w:gridCol w:w="147"/>
        <w:gridCol w:w="1207"/>
        <w:gridCol w:w="60"/>
        <w:gridCol w:w="60"/>
        <w:gridCol w:w="123"/>
        <w:gridCol w:w="1426"/>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Rooms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Opened in Q1 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15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Closed in Q1 2026</w:t>
            </w:r>
          </w:p>
        </w:tc>
        <w:tc>
          <w:tcPr>
            <w:tcW w:w="61" w:type="dxa"/>
            <w:tcBorders/>
            <w:vAlign w:val="center"/>
          </w:tcPr>
          <w:p>
            <w:pPr>
              <w:pStyle w:val="TableContents"/>
              <w:bidi w:val="0"/>
              <w:spacing w:before="0" w:after="283"/>
              <w:jc w:val="left"/>
              <w:rPr>
                <w:caps w:val="false"/>
                <w:smallCaps w:val="false"/>
              </w:rPr>
            </w:pPr>
            <w:r>
              <w:rPr>
                <w:caps w:val="false"/>
                <w:smallCaps w:val="false"/>
              </w:rPr>
              <w:t> </w:t>
            </w:r>
          </w:p>
        </w:tc>
        <w:tc>
          <w:tcPr>
            <w:tcW w:w="61"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As of </w:t>
              <w:b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As of </w:t>
              <w:br/>
              <w:t>March 31, 2026</w:t>
            </w:r>
          </w:p>
        </w:tc>
        <w:tc>
          <w:tcPr>
            <w:tcW w:w="75"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229,194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232,298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085"/>
        <w:gridCol w:w="60"/>
        <w:gridCol w:w="1280"/>
        <w:gridCol w:w="60"/>
        <w:gridCol w:w="114"/>
        <w:gridCol w:w="926"/>
        <w:gridCol w:w="60"/>
        <w:gridCol w:w="60"/>
        <w:gridCol w:w="128"/>
        <w:gridCol w:w="492"/>
        <w:gridCol w:w="60"/>
        <w:gridCol w:w="60"/>
        <w:gridCol w:w="60"/>
        <w:gridCol w:w="695"/>
        <w:gridCol w:w="75"/>
      </w:tblGrid>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tc>
        <w:tc>
          <w:tcPr>
            <w:tcW w:w="75" w:type="dxa"/>
            <w:tcBorders/>
            <w:vAlign w:val="center"/>
          </w:tcPr>
          <w:p>
            <w:pPr>
              <w:pStyle w:val="TableContents"/>
              <w:bidi w:val="0"/>
              <w:spacing w:before="0" w:after="283"/>
              <w:jc w:val="left"/>
              <w:rPr/>
            </w:pPr>
            <w:r>
              <w:rPr/>
              <w:t> </w:t>
            </w:r>
          </w:p>
        </w:tc>
      </w:tr>
      <w:tr>
        <w:trPr/>
        <w:tc>
          <w:tcPr>
            <w:tcW w:w="10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 Brand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Manachised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House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Luxury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SAVHE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Upscale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Upscale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Origin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Upper midscale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Upper midscale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174,984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Upper midscale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Light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Midscale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9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232,298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952" w:type="dxa"/>
        <w:jc w:val="left"/>
        <w:tblInd w:w="0" w:type="dxa"/>
        <w:tblLayout w:type="fixed"/>
        <w:tblCellMar>
          <w:top w:w="0" w:type="dxa"/>
          <w:left w:w="0" w:type="dxa"/>
          <w:bottom w:w="0" w:type="dxa"/>
          <w:right w:w="0" w:type="dxa"/>
        </w:tblCellMar>
      </w:tblPr>
      <w:tblGrid>
        <w:gridCol w:w="2765"/>
        <w:gridCol w:w="60"/>
        <w:gridCol w:w="147"/>
        <w:gridCol w:w="1207"/>
        <w:gridCol w:w="215"/>
        <w:gridCol w:w="60"/>
        <w:gridCol w:w="178"/>
        <w:gridCol w:w="1461"/>
        <w:gridCol w:w="215"/>
        <w:gridCol w:w="60"/>
        <w:gridCol w:w="147"/>
        <w:gridCol w:w="1207"/>
        <w:gridCol w:w="23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7"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 in Operation</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Occupancy rate</w:t>
            </w:r>
            <w:r>
              <w:rPr>
                <w:rFonts w:ascii="Times New Roman;Times;Serif" w:hAnsi="Times New Roman;Times;Serif"/>
                <w:b/>
                <w:i w:val="false"/>
                <w:caps w:val="false"/>
                <w:smallCaps w:val="false"/>
                <w:position w:val="7"/>
                <w:sz w:val="16"/>
                <w:sz w:val="20"/>
              </w:rPr>
              <w:t xml:space="preserve">3 </w:t>
            </w:r>
            <w:r>
              <w:rPr>
                <w:rFonts w:ascii="Times New Roman;Times;Serif" w:hAnsi="Times New Roman;Times;Serif"/>
                <w:b/>
                <w:i w:val="false"/>
                <w:caps w:val="false"/>
                <w:smallCaps w:val="false"/>
                <w:sz w:val="20"/>
              </w:rPr>
              <w:t>(in percentage)</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70.2</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76.1</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70.6</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ADR</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 xml:space="preserve"> (in RMB)</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423.7</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424.5</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579.6</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417.9</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426.4</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426.8</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1461"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207"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RevPAR</w:t>
            </w:r>
            <w:r>
              <w:rPr>
                <w:rFonts w:ascii="Times New Roman;Times;Serif" w:hAnsi="Times New Roman;Times;Serif"/>
                <w:b/>
                <w:i w:val="false"/>
                <w:caps w:val="false"/>
                <w:smallCaps w:val="false"/>
                <w:position w:val="7"/>
                <w:sz w:val="16"/>
                <w:sz w:val="20"/>
              </w:rPr>
              <w:t>3</w:t>
            </w:r>
            <w:r>
              <w:rPr>
                <w:rFonts w:ascii="Times New Roman;Times;Serif" w:hAnsi="Times New Roman;Times;Serif"/>
                <w:b/>
                <w:i w:val="false"/>
                <w:caps w:val="false"/>
                <w:smallCaps w:val="false"/>
                <w:sz w:val="20"/>
              </w:rPr>
              <w:t xml:space="preserve"> (in RMB)</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1461"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301.5</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332.9</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453.1</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508.5</w:t>
            </w:r>
          </w:p>
        </w:tc>
        <w:tc>
          <w:tcPr>
            <w:tcW w:w="2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472.3</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304.4</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335.7</w:t>
            </w:r>
          </w:p>
        </w:tc>
        <w:tc>
          <w:tcPr>
            <w:tcW w:w="2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311.6</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323" w:type="dxa"/>
        <w:jc w:val="left"/>
        <w:tblInd w:w="0" w:type="dxa"/>
        <w:tblLayout w:type="fixed"/>
        <w:tblCellMar>
          <w:top w:w="0" w:type="dxa"/>
          <w:left w:w="0" w:type="dxa"/>
          <w:bottom w:w="0" w:type="dxa"/>
          <w:right w:w="0" w:type="dxa"/>
        </w:tblCellMar>
      </w:tblPr>
      <w:tblGrid>
        <w:gridCol w:w="1565"/>
        <w:gridCol w:w="60"/>
        <w:gridCol w:w="81"/>
        <w:gridCol w:w="658"/>
        <w:gridCol w:w="72"/>
        <w:gridCol w:w="72"/>
        <w:gridCol w:w="81"/>
        <w:gridCol w:w="658"/>
        <w:gridCol w:w="60"/>
        <w:gridCol w:w="60"/>
        <w:gridCol w:w="106"/>
        <w:gridCol w:w="672"/>
        <w:gridCol w:w="380"/>
        <w:gridCol w:w="106"/>
        <w:gridCol w:w="106"/>
        <w:gridCol w:w="672"/>
        <w:gridCol w:w="215"/>
        <w:gridCol w:w="60"/>
        <w:gridCol w:w="80"/>
        <w:gridCol w:w="659"/>
        <w:gridCol w:w="74"/>
        <w:gridCol w:w="74"/>
        <w:gridCol w:w="80"/>
        <w:gridCol w:w="659"/>
        <w:gridCol w:w="60"/>
        <w:gridCol w:w="60"/>
        <w:gridCol w:w="90"/>
        <w:gridCol w:w="729"/>
        <w:gridCol w:w="90"/>
        <w:gridCol w:w="90"/>
        <w:gridCol w:w="90"/>
        <w:gridCol w:w="729"/>
        <w:gridCol w:w="75"/>
      </w:tblGrid>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23"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Hotels in Operation for More Than 18 Months in Q1 2026</w:t>
            </w:r>
            <w:r>
              <w:rPr>
                <w:rFonts w:ascii="Times New Roman;Times;Serif" w:hAnsi="Times New Roman;Times;Serif"/>
                <w:b/>
                <w:i w:val="false"/>
                <w:caps w:val="false"/>
                <w:smallCaps w:val="false"/>
                <w:position w:val="7"/>
                <w:sz w:val="16"/>
                <w:sz w:val="20"/>
              </w:rPr>
              <w:t>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hotels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Same-hotel Occupancy</w:t>
            </w:r>
            <w:r>
              <w:rPr>
                <w:rFonts w:ascii="Times New Roman;Times;Serif" w:hAnsi="Times New Roman;Times;Serif"/>
                <w:b/>
                <w:i w:val="false"/>
                <w:caps w:val="false"/>
                <w:smallCaps w:val="false"/>
                <w:position w:val="7"/>
                <w:sz w:val="16"/>
                <w:sz w:val="20"/>
              </w:rPr>
              <w:t>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percentage)</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Same-hotel ADR</w:t>
            </w:r>
            <w:r>
              <w:rPr>
                <w:rFonts w:ascii="Times New Roman;Times;Serif" w:hAnsi="Times New Roman;Times;Serif"/>
                <w:b/>
                <w:i w:val="false"/>
                <w:caps w:val="false"/>
                <w:smallCaps w:val="false"/>
                <w:position w:val="7"/>
                <w:sz w:val="16"/>
                <w:sz w:val="20"/>
              </w:rPr>
              <w:t>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1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Same-hotel RevPAR</w:t>
            </w:r>
            <w:r>
              <w:rPr>
                <w:rFonts w:ascii="Times New Roman;Times;Serif" w:hAnsi="Times New Roman;Times;Serif"/>
                <w:b/>
                <w:i w:val="false"/>
                <w:caps w:val="false"/>
                <w:smallCaps w:val="false"/>
                <w:position w:val="7"/>
                <w:sz w:val="16"/>
                <w:sz w:val="20"/>
              </w:rPr>
              <w:t>3</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RMB)</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2025</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2025</w:t>
            </w:r>
          </w:p>
        </w:tc>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2025</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4" w:type="dxa"/>
            <w:tcBorders/>
            <w:vAlign w:val="center"/>
          </w:tcPr>
          <w:p>
            <w:pPr>
              <w:pStyle w:val="TableContents"/>
              <w:bidi w:val="0"/>
              <w:spacing w:before="0" w:after="283"/>
              <w:jc w:val="left"/>
              <w:rPr>
                <w:caps w:val="false"/>
                <w:smallCaps w:val="false"/>
              </w:rPr>
            </w:pPr>
            <w:r>
              <w:rPr>
                <w:caps w:val="false"/>
                <w:smallCaps w:val="false"/>
              </w:rPr>
              <w:t> </w:t>
            </w:r>
          </w:p>
        </w:tc>
        <w:tc>
          <w:tcPr>
            <w:tcW w:w="7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8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Manachised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w:t>
            </w:r>
          </w:p>
        </w:tc>
        <w:tc>
          <w:tcPr>
            <w:tcW w:w="3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hotels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w:t>
            </w:r>
          </w:p>
        </w:tc>
        <w:tc>
          <w:tcPr>
            <w:tcW w:w="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546.9</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452.6</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565"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hotels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1,364</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w:t>
            </w:r>
          </w:p>
        </w:tc>
        <w:tc>
          <w:tcPr>
            <w:tcW w:w="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70.9</w:t>
            </w:r>
          </w:p>
        </w:tc>
        <w:tc>
          <w:tcPr>
            <w:tcW w:w="2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417.0</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Excludes hotel rooms that became unavailable due to temporary hotel closures. ADR and RevPAR are calculated based on tax-inclusive room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For any given period, we define “same-hotel” as a hotel that has operated for more than 18 calendar months as of the 15th day (inclusive) of any month within that period. The OCC, ADR and RevPAR presented above represent such metrics generated by “same hotels” in the given period, compared to the corresponding metrics generated by these “same hotels” during the same period in 2025.</w:t>
      </w:r>
    </w:p>
    <w:p>
      <w:pPr>
        <w:pStyle w:val="TextBody"/>
        <w:bidi w:val="0"/>
        <w:spacing w:before="0" w:after="283"/>
        <w:jc w:val="left"/>
        <w:rPr/>
      </w:pPr>
      <w:r>
        <w:rPr/>
        <w:t> </w:t>
      </w:r>
    </w:p>
    <w:p>
      <w:pPr>
        <w:pStyle w:val="TextBody"/>
        <w:bidi w:val="0"/>
        <w:ind w:left="0" w:right="0" w:hanging="0"/>
        <w:jc w:val="left"/>
        <w:rPr/>
      </w:pPr>
      <w:r>
        <w:rPr/>
        <w:t> </w:t>
      </w:r>
    </w:p>
    <w:p>
      <w:pPr>
        <w:pStyle w:val="TextBody"/>
        <w:bidi w:val="0"/>
        <w:jc w:val="left"/>
        <w:rPr/>
      </w:pPr>
      <w:bookmarkStart w:id="4" w:name="tm2613905d1_ex99-2.htm"/>
      <w:bookmarkStart w:id="5" w:name="kstm2613905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Atour Lifestyle Holdings Limited Announces Cash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May 13, 2026 /GlobeNewswire/ -- Atour Lifestyle Holdings Limited (“Atour” or the “Company”) (NASDAQ: ATAT), a leading lifestyle group in China, today announced that as part of its commitment to enhancing shareholder value, the Board of Directors (the “Board”) has declared a cash dividend under its three-year annual dividend policy (the “Annual Dividend Policy”) adopted in August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Annual Dividend Policy, as the first dividend payment in 2026, the Board today declared a cash dividend of US$0.18 per ordinary share, or US$0.54 per American depositary share (“ADS”). Each ADS represents three Class A ordinary shares. The aggregate amount of the cash dividend to be distributed will be approximately US$72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dividend will be payable in U.S. dollars on or around June 22, 2026 to the holders of record of the Company’s ordinary shares (excluding certain Class A ordinary shares previously held by The Bank of New York Mellon, as the depositary bank, for bulk issuance of ADSs reserved under the Company’s share incentive plan) and ADSs as of the close of trading on June 5, 2026 (U.S. Eastern Time). Dividends to be paid to the Company’s ADS holders through the depositary will be subject to the terms of the deposit agreement by and among the Company, the depositary, and the holders and beneficial owners of ADSs issued thereunder, including the fees and expenses payable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adopted the Annual Dividend Policy in August 2024, under which the Company plans to declare and distribute dividends with an aggregate amount of no less than 50% of its net income for the preceding financial year in each of the three financial years commencing in 2024. Under the Annual Dividend Policy, the exact dividend amount will be determined at the Board’s discretion based on its assessment of the Company’s actual and projected results of operations, financial and cash position, capital requirements, and other relevant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the Company had approximately </w:t>
      </w:r>
      <w:r>
        <w:rPr>
          <w:rFonts w:ascii="Times New Roman;Times;Serif" w:hAnsi="Times New Roman;Times;Serif"/>
          <w:b w:val="false"/>
          <w:i w:val="false"/>
          <w:caps w:val="false"/>
          <w:smallCaps w:val="false"/>
          <w:color w:val="1F2329"/>
          <w:sz w:val="20"/>
          <w:shd w:fill="FFFFFF" w:val="clear"/>
        </w:rPr>
        <w:t>RMB3.7 billion (US$536 million)</w:t>
      </w:r>
      <w:r>
        <w:rPr>
          <w:rFonts w:ascii="Times New Roman;Times;Serif" w:hAnsi="Times New Roman;Times;Serif"/>
          <w:b w:val="false"/>
          <w:i w:val="false"/>
          <w:caps w:val="false"/>
          <w:smallCaps w:val="false"/>
          <w:sz w:val="20"/>
        </w:rPr>
        <w:t xml:space="preserve"> in 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Atour Lifestyle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Lifestyle Holdings Limited (NASDAQ: ATAT) is a leading lifestyle group in China that operates both hospitality and retail businesses. As a leader in quality living, Atour is dedicated to creating an intimate ambiance where people can warmly connect. Guided by its people-serving philosophy, Atour continuously refines its products and services to curate exceptional experiences for every user.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https://ir.yaduo.com.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Atour Lifestyle Holdings Limited</w:t>
        <w:br/>
        <w:t>Email: </w:t>
      </w:r>
      <w:r>
        <w:rPr>
          <w:rFonts w:ascii="Times New Roman;Times;Serif" w:hAnsi="Times New Roman;Times;Serif"/>
          <w:b w:val="false"/>
          <w:i w:val="false"/>
          <w:caps w:val="false"/>
          <w:smallCaps w:val="false"/>
          <w:sz w:val="20"/>
          <w:u w:val="single"/>
        </w:rPr>
        <w:t>ir@yaduo.com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br/>
        <w:t>Email: </w:t>
      </w:r>
      <w:r>
        <w:rPr>
          <w:rFonts w:ascii="Times New Roman;Times;Serif" w:hAnsi="Times New Roman;Times;Serif"/>
          <w:b w:val="false"/>
          <w:i w:val="false"/>
          <w:caps w:val="false"/>
          <w:smallCaps w:val="false"/>
          <w:sz w:val="20"/>
          <w:u w:val="single"/>
        </w:rPr>
        <w:t>atour@christensencomms.com</w:t>
      </w:r>
      <w:r>
        <w:rPr>
          <w:rFonts w:ascii="Times New Roman;Times;Serif" w:hAnsi="Times New Roman;Times;Serif"/>
          <w:b w:val="false"/>
          <w:i w:val="false"/>
          <w:caps w:val="false"/>
          <w:smallCaps w:val="false"/>
          <w:sz w:val="20"/>
        </w:rPr>
        <w:br/>
        <w:t>Tel: +86-10-5900-1548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4756</Words>
  <Characters>26589</Characters>
  <CharactersWithSpaces>32317</CharactersWithSpaces>
  <Paragraphs>2866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