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Wang Haijun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1ST FLOOR, WUZHONG BUILDING,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618 WUZHONG ROAD, MINHANG DISTRICT,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SHANGHAI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F4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201103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Atour Lifestyle Holdings Ltd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ATAT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/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Executive Officer</w:t>
                  </w:r>
                  <w:r>
                    <w:rPr/>
                    <w:t xml:space="preserve"> 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07/15/2026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238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816"/>
        <w:gridCol w:w="276"/>
        <w:gridCol w:w="906"/>
        <w:gridCol w:w="801"/>
        <w:gridCol w:w="861"/>
        <w:gridCol w:w="92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38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10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7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Employee Stock Options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0.01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07/15/2026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418,250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07/15/2026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07/14/2036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Ordinary Shares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418,250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418,250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Employee Stock Options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0.01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07/15/2026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250,950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01/02/2027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07/14/2036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Ordinary Shares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250,950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250,950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Employee Stock Options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0.01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07/15/2026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167,300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01/02/2028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07/14/2036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Ordinary Shares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167,300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167,300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Haijun Wang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07/16/2026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65684" TargetMode="External"/><Relationship Id="rId5" Type="http://schemas.openxmlformats.org/officeDocument/2006/relationships/hyperlink" Target="http://www.sec.gov/cgi-bin/browse-edgar?action=getcompany&amp;CIK=000185371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615</Words>
  <Characters>3368</Characters>
  <CharactersWithSpaces>3901</CharactersWithSpaces>
  <Paragraphs>124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