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Atour Lifestyle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Norges Bank</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NORWAY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20,279,628.00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12,089,211.00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8,190,417.00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20,279,628.00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6.0636 %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20,279,628 Class A ordinary shares held in the form of 6,759,876 ADRs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Atour Lifestyle Holdings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1st Floor Wuzhong Building, 618 Wuzhong Road, Minhang District, Shanghai, F4, 201103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Norges Bank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Bankplassen 2, PO Box 1179 Sentrum, Oslo, NO-0107, Oslo,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20279628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6.0636  %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20279628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12089211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8190417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shares reported herein are invested on behalf of the Government of Norway.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10.</w:t>
            </w:r>
          </w:p>
        </w:tc>
        <w:tc>
          <w:tcPr>
            <w:tcW w:w="9038" w:type="dxa"/>
            <w:tcBorders/>
            <w:vAlign w:val="center"/>
          </w:tcPr>
          <w:p>
            <w:pPr>
              <w:pStyle w:val="TableContents"/>
              <w:bidi w:val="0"/>
              <w:spacing w:before="0" w:after="283"/>
              <w:jc w:val="left"/>
              <w:rPr/>
            </w:pPr>
            <w:r>
              <w:rPr/>
              <w:t>Certifications: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 also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Norges Bank</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Stanislav Boiadjiev</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Business and Regulatory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4746</Characters>
  <CharactersWithSpaces>5649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