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rPr/>
      </w:pPr>
      <w:hyperlink w:anchor="TOC">
        <w:bookmarkStart w:id="0" w:name="atat-20221231x20f.htm"/>
        <w:bookmarkStart w:id="1" w:name="ksatat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jc w:val="center"/>
        <w:rPr/>
      </w:pPr>
      <w:bookmarkStart w:id="2" w:name="_Hlk132811307"/>
      <w:bookmarkEnd w:id="2"/>
      <w:r>
        <w:rPr/>
        <w:t>​</w:t>
      </w:r>
    </w:p>
    <w:p>
      <w:pPr>
        <w:pStyle w:val="TextBody"/>
        <w:spacing w:before="0" w:after="0"/>
        <w:ind w:left="0" w:right="0" w:hanging="0"/>
        <w:jc w:val="center"/>
        <w:rPr>
          <w:rFonts w:ascii="Times New Roman;Times;serif" w:hAnsi="Times New Roman;Times;serif"/>
          <w:sz w:val="28"/>
        </w:rPr>
      </w:pPr>
      <w:bookmarkStart w:id="3" w:name="_6e5d2050_2550_43fe_8357_49259301c9fb"/>
      <w:bookmarkEnd w:id="3"/>
      <w:r>
        <w:rPr>
          <w:rFonts w:ascii="Times New Roman;Times;serif" w:hAnsi="Times New Roman;Times;serif"/>
          <w:sz w:val="28"/>
        </w:rPr>
        <w:t>UNITED STATES</w:t>
      </w:r>
    </w:p>
    <w:p>
      <w:pPr>
        <w:pStyle w:val="TextBody"/>
        <w:spacing w:before="0" w:after="0"/>
        <w:ind w:left="0" w:right="0" w:hanging="0"/>
        <w:jc w:val="center"/>
        <w:rPr>
          <w:rFonts w:ascii="Times New Roman;Times;serif" w:hAnsi="Times New Roman;Times;serif"/>
          <w:sz w:val="28"/>
        </w:rPr>
      </w:pPr>
      <w:r>
        <w:rPr>
          <w:rFonts w:ascii="Times New Roman;Times;serif" w:hAnsi="Times New Roman;Times;serif"/>
          <w:sz w:val="28"/>
        </w:rPr>
        <w:t>SECURITIES AND EXCHANGE COMMISSION</w:t>
      </w:r>
    </w:p>
    <w:p>
      <w:pPr>
        <w:pStyle w:val="TextBody"/>
        <w:spacing w:before="0" w:after="80"/>
        <w:ind w:left="0" w:right="0" w:hanging="0"/>
        <w:jc w:val="center"/>
        <w:rPr>
          <w:rFonts w:ascii="Times New Roman;Times;serif" w:hAnsi="Times New Roman;Times;serif"/>
          <w:sz w:val="24"/>
        </w:rPr>
      </w:pPr>
      <w:r>
        <w:rPr>
          <w:rFonts w:ascii="Times New Roman;Times;serif" w:hAnsi="Times New Roman;Times;serif"/>
          <w:sz w:val="24"/>
        </w:rPr>
        <w:t>Washington, D.C. 20549</w:t>
      </w:r>
    </w:p>
    <w:p>
      <w:pPr>
        <w:pStyle w:val="TextBody"/>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20-F</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(Mark One)</w:t>
      </w:r>
    </w:p>
    <w:p>
      <w:pPr>
        <w:pStyle w:val="TextBody"/>
        <w:spacing w:before="0" w:after="0"/>
        <w:ind w:left="0" w:right="0" w:hanging="0"/>
        <w:jc w:val="left"/>
        <w:rPr/>
      </w:pPr>
      <w:r>
        <w:rPr>
          <w:caps w:val="false"/>
          <w:smallCaps w:val="false"/>
        </w:rPr>
        <w:t>☐</w:t>
      </w:r>
      <w:r>
        <w:rPr>
          <w:rFonts w:ascii="Times New Roman;Times;serif" w:hAnsi="Times New Roman;Times;serif"/>
          <w:b/>
          <w:sz w:val="20"/>
        </w:rPr>
        <w:t>REGISTRATION STATEMENT PURSUANT TO SECTION 12(b) OR (g) OF THE SECURITIES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jc w:val="left"/>
        <w:rPr/>
      </w:pPr>
      <w:r>
        <w:rPr>
          <w:caps w:val="false"/>
          <w:smallCaps w:val="false"/>
        </w:rPr>
        <w:t>☒</w:t>
      </w:r>
      <w:r>
        <w:rPr>
          <w:rFonts w:ascii="Times New Roman;Times;serif" w:hAnsi="Times New Roman;Times;serif"/>
          <w:b/>
          <w:sz w:val="20"/>
        </w:rPr>
        <w:t>ANNUAL REPORT PURSUANT TO SECTION 13 OR 15(d) OF THE SECURITIES EXCHANGE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ACT OF 1934</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2022</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ACT OF 1934</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r>
        <w:rPr>
          <w:rFonts w:ascii="Times New Roman;Times;serif" w:hAnsi="Times New Roman;Times;serif"/>
          <w:b/>
          <w:sz w:val="20"/>
        </w:rPr>
        <w:t>.</w:t>
      </w:r>
    </w:p>
    <w:p>
      <w:pPr>
        <w:pStyle w:val="TextBody"/>
        <w:spacing w:before="0" w:after="6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jc w:val="left"/>
        <w:rPr/>
      </w:pPr>
      <w:r>
        <w:rPr>
          <w:caps w:val="false"/>
          <w:smallCaps w:val="false"/>
        </w:rPr>
        <w:t>☐</w:t>
      </w:r>
      <w:r>
        <w:rPr>
          <w:rFonts w:ascii="Times New Roman;Times;serif" w:hAnsi="Times New Roman;Times;serif"/>
          <w:b/>
          <w:sz w:val="20"/>
        </w:rPr>
        <w:t>SHELL COMPANY REPORT PURSUANT TO SECTION 13 OR 15(d) OF THE SECURITIES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Date of event requiring this shell company report</w:t>
      </w:r>
    </w:p>
    <w:p>
      <w:pPr>
        <w:pStyle w:val="TextBody"/>
        <w:spacing w:before="0" w:after="100"/>
        <w:ind w:left="0" w:right="0" w:hanging="0"/>
        <w:jc w:val="center"/>
        <w:rPr>
          <w:rFonts w:ascii="Times New Roman;Times;serif" w:hAnsi="Times New Roman;Times;serif"/>
          <w:sz w:val="20"/>
        </w:rPr>
      </w:pPr>
      <w:r>
        <w:rPr>
          <w:rFonts w:ascii="Times New Roman;Times;serif" w:hAnsi="Times New Roman;Times;serif"/>
          <w:sz w:val="20"/>
        </w:rPr>
        <w:t>Commission file number: 001-40540</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Atour Lifestyle Holdings Limited</w:t>
      </w:r>
    </w:p>
    <w:p>
      <w:pPr>
        <w:pStyle w:val="TextBody"/>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N/A</w:t>
      </w:r>
    </w:p>
    <w:p>
      <w:pPr>
        <w:pStyle w:val="TextBody"/>
        <w:spacing w:before="0" w:after="80"/>
        <w:ind w:left="0" w:right="0" w:hanging="0"/>
        <w:jc w:val="center"/>
        <w:rPr>
          <w:rFonts w:ascii="Times New Roman;Times;serif" w:hAnsi="Times New Roman;Times;serif"/>
          <w:sz w:val="18"/>
        </w:rPr>
      </w:pPr>
      <w:r>
        <w:rPr>
          <w:rFonts w:ascii="Times New Roman;Times;serif" w:hAnsi="Times New Roman;Times;serif"/>
          <w:sz w:val="18"/>
        </w:rPr>
        <w:t>(Translation of Registrant’s name into English)</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Cayman Islands</w:t>
      </w:r>
    </w:p>
    <w:p>
      <w:pPr>
        <w:pStyle w:val="TextBody"/>
        <w:spacing w:before="0" w:after="80"/>
        <w:ind w:left="0" w:right="0" w:hanging="0"/>
        <w:jc w:val="center"/>
        <w:rPr>
          <w:rFonts w:ascii="Times New Roman;Times;serif" w:hAnsi="Times New Roman;Times;serif"/>
          <w:sz w:val="18"/>
        </w:rPr>
      </w:pPr>
      <w:r>
        <w:rPr>
          <w:rFonts w:ascii="Times New Roman;Times;serif" w:hAnsi="Times New Roman;Times;serif"/>
          <w:sz w:val="18"/>
        </w:rPr>
        <w:t>(Jurisdiction of incorporation or organization)</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1st Floor, Wuzhong Building,</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618 Wuzhong Road,</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Minhang District, Shanghai, 201103</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People’s Republic of China</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spacing w:before="0" w:after="0"/>
        <w:ind w:left="0" w:right="0" w:hanging="0"/>
        <w:jc w:val="center"/>
        <w:rPr/>
      </w:pPr>
      <w:r>
        <w:rPr/>
        <w:t>​</w:t>
      </w:r>
    </w:p>
    <w:p>
      <w:pPr>
        <w:pStyle w:val="TextBody"/>
        <w:spacing w:before="0" w:after="80"/>
        <w:ind w:left="0" w:right="0" w:hanging="0"/>
        <w:jc w:val="center"/>
        <w:rPr>
          <w:rFonts w:ascii="Times New Roman;Times;serif" w:hAnsi="Times New Roman;Times;serif"/>
          <w:b/>
          <w:sz w:val="22"/>
        </w:rPr>
      </w:pPr>
      <w:r>
        <w:rPr>
          <w:rFonts w:ascii="Times New Roman;Times;serif" w:hAnsi="Times New Roman;Times;serif"/>
          <w:b/>
          <w:sz w:val="22"/>
        </w:rPr>
        <w:t>Haijun Wang</w:t>
      </w:r>
    </w:p>
    <w:p>
      <w:pPr>
        <w:pStyle w:val="TextBody"/>
        <w:spacing w:before="0" w:after="80"/>
        <w:ind w:left="0" w:right="0" w:hanging="0"/>
        <w:jc w:val="center"/>
        <w:rPr>
          <w:rFonts w:ascii="Times New Roman;Times;serif" w:hAnsi="Times New Roman;Times;serif"/>
          <w:b/>
          <w:sz w:val="22"/>
        </w:rPr>
      </w:pPr>
      <w:r>
        <w:rPr>
          <w:rFonts w:ascii="Times New Roman;Times;serif" w:hAnsi="Times New Roman;Times;serif"/>
          <w:b/>
          <w:sz w:val="22"/>
        </w:rPr>
        <w:t>Chief Executive Officer</w:t>
      </w:r>
    </w:p>
    <w:p>
      <w:pPr>
        <w:pStyle w:val="TextBody"/>
        <w:spacing w:before="0" w:after="80"/>
        <w:ind w:left="0" w:right="0" w:hanging="0"/>
        <w:jc w:val="center"/>
        <w:rPr>
          <w:rFonts w:ascii="Times New Roman;Times;serif" w:hAnsi="Times New Roman;Times;serif"/>
          <w:sz w:val="22"/>
        </w:rPr>
      </w:pPr>
      <w:r>
        <w:rPr>
          <w:rFonts w:ascii="Times New Roman;Times;serif" w:hAnsi="Times New Roman;Times;serif"/>
          <w:b/>
          <w:sz w:val="22"/>
        </w:rPr>
        <w:t>Tel: +86</w:t>
      </w:r>
      <w:r>
        <w:rPr>
          <w:rFonts w:ascii="Times New Roman;Times;serif" w:hAnsi="Times New Roman;Times;serif"/>
          <w:sz w:val="22"/>
        </w:rPr>
        <w:t xml:space="preserve"> </w:t>
      </w:r>
      <w:r>
        <w:rPr>
          <w:rFonts w:ascii="Times New Roman;Times;serif" w:hAnsi="Times New Roman;Times;serif"/>
          <w:b/>
          <w:sz w:val="22"/>
        </w:rPr>
        <w:t>021-64059928</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E-mail: IR@yaduo.com</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18th Floor, Wuzhong Building,</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618 Wuzhong Road,</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b/>
          <w:sz w:val="22"/>
        </w:rPr>
        <w:t>Minhang District</w:t>
      </w:r>
      <w:r>
        <w:rPr>
          <w:rFonts w:ascii="Times New Roman;Times;serif" w:hAnsi="Times New Roman;Times;serif"/>
          <w:sz w:val="22"/>
        </w:rPr>
        <w:t xml:space="preserve">, </w:t>
      </w:r>
      <w:r>
        <w:rPr>
          <w:rFonts w:ascii="Times New Roman;Times;serif" w:hAnsi="Times New Roman;Times;serif"/>
          <w:b/>
          <w:sz w:val="22"/>
        </w:rPr>
        <w:t>Shanghai, 201103</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People’s Republic of China</w:t>
      </w:r>
    </w:p>
    <w:p>
      <w:pPr>
        <w:pStyle w:val="TextBody"/>
        <w:spacing w:before="0" w:after="80"/>
        <w:ind w:left="0" w:right="0" w:hanging="0"/>
        <w:jc w:val="center"/>
        <w:rPr>
          <w:rFonts w:ascii="Times New Roman;Times;serif" w:hAnsi="Times New Roman;Times;serif"/>
          <w:sz w:val="18"/>
        </w:rPr>
      </w:pPr>
      <w:r>
        <w:rPr>
          <w:rFonts w:ascii="Times New Roman;Times;serif" w:hAnsi="Times New Roman;Times;serif"/>
          <w:sz w:val="18"/>
        </w:rPr>
        <w:t>(Name, Telephone, E-mail and/or Facsimile number and Address of Company Contact Person)</w:t>
      </w:r>
    </w:p>
    <w:p>
      <w:pPr>
        <w:pStyle w:val="TextBody"/>
        <w:spacing w:before="0" w:after="120"/>
        <w:ind w:left="0" w:right="0" w:hanging="0"/>
        <w:jc w:val="center"/>
        <w:rPr>
          <w:rFonts w:ascii="Times New Roman;Times;serif" w:hAnsi="Times New Roman;Times;serif"/>
          <w:sz w:val="18"/>
        </w:rPr>
      </w:pPr>
      <w:r>
        <w:rPr>
          <w:rFonts w:ascii="Times New Roman;Times;serif" w:hAnsi="Times New Roman;Times;serif"/>
          <w:sz w:val="18"/>
        </w:rPr>
        <w:t>Securities registered or to be registered pursuant to Section 12(b) of the Act:</w:t>
      </w:r>
    </w:p>
    <w:p>
      <w:pPr>
        <w:pStyle w:val="Normal"/>
        <w:spacing w:before="0" w:after="0"/>
        <w:rPr>
          <w:sz w:val="4"/>
          <w:szCs w:val="4"/>
        </w:rPr>
      </w:pPr>
      <w:r>
        <w:rPr>
          <w:sz w:val="4"/>
          <w:szCs w:val="4"/>
        </w:rPr>
      </w:r>
      <w:bookmarkStart w:id="4" w:name="Tc_APPiFOEqz0yWqgURg6WUJg_3_4"/>
      <w:bookmarkStart w:id="5" w:name="Tc_8R71jjmEV0iwUa913uNkCQ_2_4"/>
      <w:bookmarkStart w:id="6" w:name="Tc_zA8Eug-RnUqKCB6_WGYG4w_1_4"/>
      <w:bookmarkStart w:id="7" w:name="Tc_lWxMOtW2SEqQqlavAjotTA_1_2"/>
      <w:bookmarkStart w:id="8" w:name="Tc_cYtZRnX140uiGwBRcuzQyw_1_0"/>
      <w:bookmarkStart w:id="9" w:name="_0ca21309_0822_4dc2_b8da_96640514895e"/>
      <w:bookmarkStart w:id="10" w:name="Tc_APPiFOEqz0yWqgURg6WUJg_3_4"/>
      <w:bookmarkStart w:id="11" w:name="Tc_8R71jjmEV0iwUa913uNkCQ_2_4"/>
      <w:bookmarkStart w:id="12" w:name="Tc_zA8Eug-RnUqKCB6_WGYG4w_1_4"/>
      <w:bookmarkStart w:id="13" w:name="Tc_lWxMOtW2SEqQqlavAjotTA_1_2"/>
      <w:bookmarkStart w:id="14" w:name="Tc_cYtZRnX140uiGwBRcuzQyw_1_0"/>
      <w:bookmarkStart w:id="15" w:name="_0ca21309_0822_4dc2_b8da_96640514895e"/>
      <w:bookmarkEnd w:id="10"/>
      <w:bookmarkEnd w:id="11"/>
      <w:bookmarkEnd w:id="12"/>
      <w:bookmarkEnd w:id="13"/>
      <w:bookmarkEnd w:id="14"/>
      <w:bookmarkEnd w:id="15"/>
    </w:p>
    <w:tbl>
      <w:tblPr>
        <w:tblW w:w="10205" w:type="dxa"/>
        <w:jc w:val="left"/>
        <w:tblInd w:w="0" w:type="dxa"/>
        <w:tblCellMar>
          <w:top w:w="0" w:type="dxa"/>
          <w:left w:w="0" w:type="dxa"/>
          <w:bottom w:w="0" w:type="dxa"/>
          <w:right w:w="0" w:type="dxa"/>
        </w:tblCellMar>
      </w:tblPr>
      <w:tblGrid>
        <w:gridCol w:w="5625"/>
        <w:gridCol w:w="326"/>
        <w:gridCol w:w="1081"/>
        <w:gridCol w:w="326"/>
        <w:gridCol w:w="2656"/>
        <w:gridCol w:w="191"/>
      </w:tblGrid>
      <w:tr>
        <w:trPr/>
        <w:tc>
          <w:tcPr>
            <w:tcW w:w="5625"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8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656" w:type="dxa"/>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285" cy="29210"/>
                      <wp:effectExtent l="0" t="0" r="0" b="0"/>
                      <wp:wrapNone/>
                      <wp:docPr id="1" name="Frame1"/>
                      <a:graphic xmlns:a="http://schemas.openxmlformats.org/drawingml/2006/main">
                        <a:graphicData uri="http://schemas.microsoft.com/office/word/2010/wordprocessingShape">
                          <wps:wsp>
                            <wps:cNvSpPr txBox="1"/>
                            <wps:spPr>
                              <a:xfrm>
                                <a:off x="0" y="0"/>
                                <a:ext cx="1212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625"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shd w:fill="auto" w:val="clear"/>
            <w:vAlign w:val="center"/>
          </w:tcPr>
          <w:p>
            <w:pPr>
              <w:pStyle w:val="TableContents"/>
              <w:spacing w:lineRule="auto" w:line="304"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shd w:fill="auto" w:val="clear"/>
            <w:vAlign w:val="center"/>
          </w:tcPr>
          <w:p>
            <w:pPr>
              <w:pStyle w:val="TableContents"/>
              <w:spacing w:lineRule="auto" w:line="304" w:before="0" w:after="0"/>
              <w:ind w:left="0" w:right="0" w:hanging="0"/>
              <w:rPr/>
            </w:pPr>
            <w:r>
              <w:rPr/>
              <w:t>    </w:t>
            </w:r>
          </w:p>
        </w:tc>
        <w:tc>
          <w:tcPr>
            <w:tcW w:w="265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c>
          <w:tcPr>
            <w:tcW w:w="191"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r>
      <w:tr>
        <w:trPr/>
        <w:tc>
          <w:tcPr>
            <w:tcW w:w="5625"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b/>
                <w:sz w:val="14"/>
              </w:rPr>
              <w:t>American depositary shares, each ADS represents</w:t>
            </w:r>
            <w:r>
              <w:rPr>
                <w:rFonts w:ascii="Times New Roman;Times;serif" w:hAnsi="Times New Roman;Times;serif"/>
                <w:sz w:val="20"/>
              </w:rPr>
              <w:t xml:space="preserve"> </w:t>
            </w:r>
            <w:r>
              <w:rPr>
                <w:rFonts w:ascii="Times New Roman;Times;serif" w:hAnsi="Times New Roman;Times;serif"/>
                <w:b/>
                <w:sz w:val="14"/>
              </w:rPr>
              <w:t>three Class A ordinary shares, par value US$0.0001 per share</w:t>
            </w:r>
          </w:p>
        </w:tc>
        <w:tc>
          <w:tcPr>
            <w:tcW w:w="326" w:type="dxa"/>
            <w:tcBorders/>
            <w:shd w:fill="auto" w:val="clear"/>
            <w:vAlign w:val="center"/>
          </w:tcPr>
          <w:p>
            <w:pPr>
              <w:pStyle w:val="TableContents"/>
              <w:spacing w:lineRule="auto" w:line="304" w:before="0" w:after="0"/>
              <w:ind w:left="0" w:right="0" w:hanging="0"/>
              <w:rPr/>
            </w:pPr>
            <w:r>
              <w:rPr/>
              <w:t>​</w:t>
            </w:r>
          </w:p>
        </w:tc>
        <w:tc>
          <w:tcPr>
            <w:tcW w:w="1081"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ATAT</w:t>
            </w:r>
          </w:p>
        </w:tc>
        <w:tc>
          <w:tcPr>
            <w:tcW w:w="326" w:type="dxa"/>
            <w:tcBorders/>
            <w:shd w:fill="auto" w:val="clear"/>
            <w:vAlign w:val="center"/>
          </w:tcPr>
          <w:p>
            <w:pPr>
              <w:pStyle w:val="TableContents"/>
              <w:spacing w:lineRule="auto" w:line="304" w:before="0" w:after="0"/>
              <w:ind w:left="0" w:right="0" w:hanging="0"/>
              <w:rPr/>
            </w:pPr>
            <w:r>
              <w:rPr/>
              <w:t>​</w:t>
            </w:r>
          </w:p>
        </w:tc>
        <w:tc>
          <w:tcPr>
            <w:tcW w:w="2656"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b/>
                <w:sz w:val="14"/>
              </w:rPr>
              <w:t>The Nasdaq</w:t>
            </w:r>
            <w:r>
              <w:rPr>
                <w:rFonts w:ascii="Times New Roman;Times;serif" w:hAnsi="Times New Roman;Times;serif"/>
                <w:sz w:val="20"/>
              </w:rPr>
              <w:t> </w:t>
            </w:r>
            <w:r>
              <w:rPr>
                <w:rFonts w:ascii="Times New Roman;Times;serif" w:hAnsi="Times New Roman;Times;serif"/>
                <w:b/>
                <w:sz w:val="14"/>
              </w:rPr>
              <w:t>Global Select Market</w:t>
            </w:r>
          </w:p>
        </w:tc>
        <w:tc>
          <w:tcPr>
            <w:tcW w:w="191" w:type="dxa"/>
            <w:tcBorders/>
            <w:shd w:fill="auto" w:val="clear"/>
            <w:vAlign w:val="center"/>
          </w:tcPr>
          <w:p>
            <w:pPr>
              <w:pStyle w:val="TableContents"/>
              <w:spacing w:lineRule="auto" w:line="304" w:before="0" w:after="0"/>
              <w:ind w:left="0" w:right="0" w:hanging="0"/>
              <w:rPr/>
            </w:pPr>
            <w:r>
              <w:rPr/>
              <w:t>​</w:t>
            </w:r>
          </w:p>
        </w:tc>
      </w:tr>
      <w:tr>
        <w:trPr/>
        <w:tc>
          <w:tcPr>
            <w:tcW w:w="5625"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b/>
                <w:sz w:val="14"/>
              </w:rPr>
              <w:t>Class A ordinary shares, par value US$0.0001 per</w:t>
            </w:r>
            <w:r>
              <w:rPr>
                <w:rFonts w:ascii="Times New Roman;Times;serif" w:hAnsi="Times New Roman;Times;serif"/>
                <w:sz w:val="20"/>
              </w:rPr>
              <w:t xml:space="preserve"> </w:t>
            </w:r>
            <w:r>
              <w:rPr>
                <w:rFonts w:ascii="Times New Roman;Times;serif" w:hAnsi="Times New Roman;Times;serif"/>
                <w:b/>
                <w:sz w:val="14"/>
              </w:rPr>
              <w:t>share*</w:t>
            </w:r>
          </w:p>
        </w:tc>
        <w:tc>
          <w:tcPr>
            <w:tcW w:w="326" w:type="dxa"/>
            <w:tcBorders/>
            <w:shd w:fill="auto" w:val="clear"/>
            <w:vAlign w:val="center"/>
          </w:tcPr>
          <w:p>
            <w:pPr>
              <w:pStyle w:val="TableContents"/>
              <w:spacing w:lineRule="auto" w:line="304" w:before="0" w:after="0"/>
              <w:ind w:left="0" w:right="0" w:hanging="0"/>
              <w:rPr/>
            </w:pPr>
            <w:r>
              <w:rPr/>
              <w:t>​</w:t>
            </w:r>
          </w:p>
        </w:tc>
        <w:tc>
          <w:tcPr>
            <w:tcW w:w="1081"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4"/>
              </w:rPr>
            </w:pPr>
            <w:r>
              <w:rPr>
                <w:rFonts w:ascii="Times New Roman;Times;serif" w:hAnsi="Times New Roman;Times;serif"/>
                <w:b/>
                <w:sz w:val="14"/>
              </w:rPr>
              <w:t>N/A</w:t>
            </w:r>
          </w:p>
        </w:tc>
        <w:tc>
          <w:tcPr>
            <w:tcW w:w="326" w:type="dxa"/>
            <w:tcBorders/>
            <w:shd w:fill="auto" w:val="clear"/>
            <w:vAlign w:val="center"/>
          </w:tcPr>
          <w:p>
            <w:pPr>
              <w:pStyle w:val="TableContents"/>
              <w:spacing w:lineRule="auto" w:line="304" w:before="0" w:after="0"/>
              <w:ind w:left="0" w:right="0" w:hanging="0"/>
              <w:rPr/>
            </w:pPr>
            <w:r>
              <w:rPr/>
              <w:t>​</w:t>
            </w:r>
          </w:p>
        </w:tc>
        <w:tc>
          <w:tcPr>
            <w:tcW w:w="265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b/>
                <w:sz w:val="14"/>
              </w:rPr>
              <w:t>The Nasdaq</w:t>
            </w:r>
            <w:r>
              <w:rPr>
                <w:rFonts w:ascii="Times New Roman;Times;serif" w:hAnsi="Times New Roman;Times;serif"/>
                <w:sz w:val="20"/>
              </w:rPr>
              <w:t xml:space="preserve"> </w:t>
            </w:r>
            <w:r>
              <w:rPr>
                <w:rFonts w:ascii="Times New Roman;Times;serif" w:hAnsi="Times New Roman;Times;serif"/>
                <w:b/>
                <w:sz w:val="14"/>
              </w:rPr>
              <w:t>Global Select Market</w:t>
            </w:r>
          </w:p>
        </w:tc>
        <w:tc>
          <w:tcPr>
            <w:tcW w:w="191" w:type="dxa"/>
            <w:tcBorders/>
            <w:shd w:fill="auto" w:val="clear"/>
            <w:vAlign w:val="center"/>
          </w:tcPr>
          <w:p>
            <w:pPr>
              <w:pStyle w:val="TableContents"/>
              <w:spacing w:lineRule="auto" w:line="304" w:before="0" w:after="0"/>
              <w:ind w:left="0" w:right="0" w:hanging="0"/>
              <w:rPr/>
            </w:pPr>
            <w:r>
              <w:rPr/>
              <w:t>​</w:t>
            </w:r>
          </w:p>
        </w:tc>
      </w:tr>
    </w:tbl>
    <w:p>
      <w:pPr>
        <w:pStyle w:val="TextBody"/>
        <w:spacing w:before="0" w:after="0"/>
        <w:ind w:left="0" w:right="0" w:hanging="0"/>
        <w:rPr/>
      </w:pPr>
      <w:r>
        <w:rPr/>
        <w:t>​</w:t>
      </w:r>
    </w:p>
    <w:p>
      <w:pPr>
        <w:pStyle w:val="TextBody"/>
        <w:spacing w:before="0" w:after="80"/>
        <w:ind w:left="0" w:right="0" w:hanging="0"/>
        <w:rPr>
          <w:rFonts w:ascii="Times New Roman;Times;serif" w:hAnsi="Times New Roman;Times;serif"/>
          <w:sz w:val="16"/>
        </w:rPr>
      </w:pPr>
      <w:r>
        <w:rPr>
          <w:rFonts w:ascii="Times New Roman;Times;serif" w:hAnsi="Times New Roman;Times;serif"/>
          <w:sz w:val="16"/>
        </w:rPr>
        <w:t>*Not for trading, but only in connection with the listing of the American depositary shares on The Nasdaq Global Select Market of American depositary shares.</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Securities registered or to be registered pursuant to Section 12(g) of the Act:</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(Title of Class)</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Securities for which there is a reporting obligation pursuant to Section 15(d) of the Act:</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spacing w:before="0" w:after="80"/>
        <w:ind w:left="0" w:right="0" w:hanging="0"/>
        <w:jc w:val="center"/>
        <w:rPr>
          <w:rFonts w:ascii="Times New Roman;Times;serif" w:hAnsi="Times New Roman;Times;serif"/>
          <w:b/>
          <w:sz w:val="20"/>
        </w:rPr>
      </w:pPr>
      <w:r>
        <w:rPr>
          <w:rFonts w:ascii="Times New Roman;Times;serif" w:hAnsi="Times New Roman;Times;serif"/>
          <w:b/>
          <w:sz w:val="20"/>
        </w:rPr>
        <w:t>(Title of Class)</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the number of outstanding shares of each of the issuer’s classes of capital or common stock as of the close of the period covered by the annual report.</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393,357,954 ordinary shares, comprising 319,677,037 Class A ordinary shares, par value US$0.0001 per share, and 73,680,917 Class B ordinary shares, par value US$0.0001 per share, as of December 31, 2022.</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p>
      <w:pPr>
        <w:pStyle w:val="TextBody"/>
        <w:spacing w:before="0" w:after="8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caps w:val="false"/>
          <w:smallCaps w:val="false"/>
          <w:sz w:val="20"/>
        </w:rPr>
        <w:t>☐</w:t>
      </w:r>
      <w:r>
        <w:rPr>
          <w:rFonts w:ascii="Times New Roman;Times;serif" w:hAnsi="Times New Roman;Times;serif"/>
          <w:sz w:val="20"/>
        </w:rPr>
        <w:t>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 Yes ☐No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or a non-accelerated filer. See definition of “accelerated filer and large accelerated filer” in Rule 12b-2 of the Exchange Act. (Check one):</w:t>
      </w:r>
    </w:p>
    <w:tbl>
      <w:tblPr>
        <w:tblW w:w="8674" w:type="dxa"/>
        <w:jc w:val="left"/>
        <w:tblInd w:w="0" w:type="dxa"/>
        <w:tblCellMar>
          <w:top w:w="0" w:type="dxa"/>
          <w:left w:w="0" w:type="dxa"/>
          <w:bottom w:w="0" w:type="dxa"/>
          <w:right w:w="0" w:type="dxa"/>
        </w:tblCellMar>
      </w:tblPr>
      <w:tblGrid>
        <w:gridCol w:w="2236"/>
        <w:gridCol w:w="1711"/>
        <w:gridCol w:w="2071"/>
        <w:gridCol w:w="2656"/>
      </w:tblGrid>
      <w:tr>
        <w:trPr/>
        <w:tc>
          <w:tcPr>
            <w:tcW w:w="2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19860" cy="175260"/>
                      <wp:effectExtent l="0" t="0" r="0" b="0"/>
                      <wp:wrapNone/>
                      <wp:docPr id="2" name="Frame2"/>
                      <a:graphic xmlns:a="http://schemas.openxmlformats.org/drawingml/2006/main">
                        <a:graphicData uri="http://schemas.microsoft.com/office/word/2010/wordprocessingShape">
                          <wps:wsp>
                            <wps:cNvSpPr txBox="1"/>
                            <wps:spPr>
                              <a:xfrm>
                                <a:off x="0" y="0"/>
                                <a:ext cx="141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3" name="Frame3"/>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15085" cy="175260"/>
                      <wp:effectExtent l="0" t="0" r="0" b="0"/>
                      <wp:wrapNone/>
                      <wp:docPr id="4" name="Frame4"/>
                      <a:graphic xmlns:a="http://schemas.openxmlformats.org/drawingml/2006/main">
                        <a:graphicData uri="http://schemas.microsoft.com/office/word/2010/wordprocessingShape">
                          <wps:wsp>
                            <wps:cNvSpPr txBox="1"/>
                            <wps:spPr>
                              <a:xfrm>
                                <a:off x="0" y="0"/>
                                <a:ext cx="1315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86560" cy="175260"/>
                      <wp:effectExtent l="0" t="0" r="0" b="0"/>
                      <wp:wrapNone/>
                      <wp:docPr id="5" name="Frame5"/>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Large Accelerated Filer ☐</w:t>
            </w:r>
          </w:p>
        </w:tc>
        <w:tc>
          <w:tcPr>
            <w:tcW w:w="1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Accelerated Filer ☐</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Non-accelerated Filer ☒</w:t>
            </w:r>
          </w:p>
        </w:tc>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p>
    <w:p>
      <w:pPr>
        <w:pStyle w:val="TextBody"/>
        <w:spacing w:before="0" w:after="80"/>
        <w:ind w:left="0" w:right="0" w:hanging="0"/>
        <w:rPr/>
      </w:pPr>
      <w:r>
        <w:rPr/>
        <w:t xml:space="preserve">† </w:t>
      </w: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Yes ☐ 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 240.10D-1(b). Yes ☐ 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tbl>
      <w:tblPr>
        <w:tblW w:w="6543" w:type="dxa"/>
        <w:jc w:val="left"/>
        <w:tblInd w:w="0" w:type="dxa"/>
        <w:tblCellMar>
          <w:top w:w="0" w:type="dxa"/>
          <w:left w:w="0" w:type="dxa"/>
          <w:bottom w:w="0" w:type="dxa"/>
          <w:right w:w="0" w:type="dxa"/>
        </w:tblCellMar>
      </w:tblPr>
      <w:tblGrid>
        <w:gridCol w:w="1231"/>
        <w:gridCol w:w="4486"/>
        <w:gridCol w:w="826"/>
      </w:tblGrid>
      <w:tr>
        <w:trPr/>
        <w:tc>
          <w:tcPr>
            <w:tcW w:w="1231" w:type="dxa"/>
            <w:tcBorders/>
            <w:shd w:fill="auto" w:val="clear"/>
            <w:vAlign w:val="center"/>
          </w:tcPr>
          <w:p>
            <w:pPr>
              <w:pStyle w:val="TableContents"/>
              <w:spacing w:before="0" w:after="0"/>
              <w:ind w:left="0" w:right="0" w:hanging="0"/>
              <w:rPr/>
            </w:pPr>
            <w:r>
              <w:rPr/>
              <w:t>​</w:t>
            </w:r>
          </w:p>
        </w:tc>
        <w:tc>
          <w:tcPr>
            <w:tcW w:w="448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r>
      <w:tr>
        <w:trPr/>
        <w:tc>
          <w:tcPr>
            <w:tcW w:w="1231"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U.S. GAAP ☒</w:t>
            </w:r>
          </w:p>
        </w:tc>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International Financial Reporting Standards as issued </w:t>
              <w:br/>
              <w:t>by the International Accounting Standards Board ☐</w:t>
            </w:r>
          </w:p>
        </w:tc>
        <w:tc>
          <w:tcPr>
            <w:tcW w:w="826" w:type="dxa"/>
            <w:tcBorders/>
            <w:shd w:fill="auto" w:val="clear"/>
            <w:vAlign w:val="center"/>
          </w:tcPr>
          <w:p>
            <w:pPr>
              <w:pStyle w:val="TableContents"/>
              <w:spacing w:before="0" w:after="120"/>
              <w:ind w:left="0" w:right="0" w:hanging="0"/>
              <w:rPr>
                <w:rFonts w:ascii="Times New Roman;Times;serif" w:hAnsi="Times New Roman;Times;serif"/>
                <w:sz w:val="20"/>
              </w:rPr>
            </w:pPr>
            <w:r>
              <w:rPr>
                <w:rFonts w:ascii="Times New Roman;Times;serif" w:hAnsi="Times New Roman;Times;serif"/>
                <w:sz w:val="20"/>
              </w:rPr>
              <w:t>Other ☐</w:t>
            </w:r>
          </w:p>
        </w:tc>
      </w:tr>
    </w:tbl>
    <w:p>
      <w:pPr>
        <w:pStyle w:val="TextBody"/>
        <w:spacing w:before="0" w:after="0"/>
        <w:ind w:left="0" w:right="0" w:hanging="0"/>
        <w:rPr/>
      </w:pPr>
      <w:r>
        <w:rPr/>
        <w:t>​</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 Item 17☐ Item 18</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 Yes ☐No ☒</w:t>
      </w:r>
    </w:p>
    <w:p>
      <w:pPr>
        <w:pStyle w:val="TextBody"/>
        <w:spacing w:before="0" w:after="80"/>
        <w:ind w:left="0" w:right="0" w:hanging="0"/>
        <w:rPr>
          <w:rFonts w:ascii="Times New Roman;Times;serif" w:hAnsi="Times New Roman;Times;serif"/>
          <w:sz w:val="20"/>
        </w:rPr>
      </w:pPr>
      <w:r>
        <w:rPr>
          <w:rFonts w:ascii="Times New Roman;Times;serif" w:hAnsi="Times New Roman;Times;serif"/>
          <w:sz w:val="20"/>
        </w:rPr>
        <w:t>(APPLICABLE ONLY TO ISSUERS INVOLVED IN BANKRUPTCY PROCEEDINGS DURING THE PAST FIVE YEARS)</w:t>
      </w:r>
    </w:p>
    <w:p>
      <w:pPr>
        <w:pStyle w:val="TextBody"/>
        <w:spacing w:before="0" w:after="80"/>
        <w:ind w:left="0" w:right="0" w:hanging="0"/>
        <w:rPr>
          <w:rFonts w:ascii="Times New Roman;Times;serif" w:hAnsi="Times New Roman;Times;serif"/>
          <w:sz w:val="18"/>
        </w:rPr>
      </w:pPr>
      <w:r>
        <w:rPr>
          <w:rFonts w:ascii="Times New Roman;Times;serif" w:hAnsi="Times New Roman;Times;serif"/>
          <w:sz w:val="20"/>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Times New Roman;Times;serif" w:hAnsi="Times New Roman;Times;serif"/>
          <w:sz w:val="18"/>
        </w:rPr>
        <w:t xml:space="preserve">☒ </w:t>
      </w:r>
      <w:r>
        <w:rPr>
          <w:rFonts w:ascii="Times New Roman;Times;serif" w:hAnsi="Times New Roman;Times;serif"/>
          <w:sz w:val="20"/>
        </w:rPr>
        <w:t xml:space="preserve">No </w:t>
      </w:r>
      <w:r>
        <w:rPr>
          <w:rFonts w:ascii="Times New Roman;Times;serif" w:hAnsi="Times New Roman;Times;serif"/>
          <w:sz w:val="18"/>
        </w:rPr>
        <w:t>☐</w:t>
      </w:r>
    </w:p>
    <w:p>
      <w:pPr>
        <w:pStyle w:val="TextBody"/>
        <w:pBdr>
          <w:top w:val="single" w:sz="8" w:space="1" w:color="000000"/>
          <w:bottom w:val="single" w:sz="24" w:space="1" w:color="000000"/>
        </w:pBdr>
        <w:spacing w:before="0" w:after="120"/>
        <w:ind w:left="0" w:right="0" w:hanging="0"/>
        <w:jc w:val="center"/>
        <w:rPr/>
      </w:pPr>
      <w:r>
        <w:rPr/>
        <w:t>​</w:t>
      </w:r>
    </w:p>
    <w:p>
      <w:pPr>
        <w:pStyle w:val="TextBody"/>
        <w:spacing w:before="0" w:after="0"/>
        <w:ind w:left="0" w:right="0" w:hanging="0"/>
        <w:rPr/>
      </w:pPr>
      <w:r>
        <w:rPr/>
        <w:t>​</w:t>
      </w:r>
    </w:p>
    <w:p>
      <w:pPr>
        <w:pStyle w:val="TextBody"/>
        <w:spacing w:before="0" w:after="120"/>
        <w:ind w:left="0" w:right="0" w:hanging="0"/>
        <w:rPr/>
      </w:pPr>
      <w:r>
        <w:rPr/>
        <w:t>​</w:t>
      </w:r>
    </w:p>
    <w:p>
      <w:pPr>
        <w:pStyle w:val="TextBody"/>
        <w:spacing w:before="0" w:after="12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Times New Roman;Times;serif" w:hAnsi="Times New Roman;Times;serif"/>
          <w:b/>
          <w:sz w:val="20"/>
        </w:rPr>
      </w:pPr>
      <w:bookmarkStart w:id="16" w:name="TOC"/>
      <w:bookmarkStart w:id="17" w:name="_Hlk132811574"/>
      <w:bookmarkStart w:id="18" w:name="_f5ddbaa4_3e08_47c3_8573_59a393d25ba4"/>
      <w:bookmarkEnd w:id="16"/>
      <w:bookmarkEnd w:id="17"/>
      <w:bookmarkEnd w:id="18"/>
      <w:r>
        <w:rPr>
          <w:rFonts w:ascii="Times New Roman;Times;serif" w:hAnsi="Times New Roman;Times;serif"/>
          <w:b/>
          <w:sz w:val="20"/>
        </w:rPr>
        <w:t>TABLE OF CONTENTS</w:t>
      </w:r>
    </w:p>
    <w:p>
      <w:pPr>
        <w:pStyle w:val="TextBody"/>
        <w:spacing w:before="0" w:after="0"/>
        <w:ind w:left="0" w:right="0" w:hanging="0"/>
        <w:rPr/>
      </w:pPr>
      <w:r>
        <w:rPr/>
        <w:t>​</w:t>
      </w:r>
    </w:p>
    <w:tbl>
      <w:tblPr>
        <w:tblW w:w="10113" w:type="dxa"/>
        <w:jc w:val="left"/>
        <w:tblInd w:w="0" w:type="dxa"/>
        <w:tblCellMar>
          <w:top w:w="0" w:type="dxa"/>
          <w:left w:w="0" w:type="dxa"/>
          <w:bottom w:w="0" w:type="dxa"/>
          <w:right w:w="0" w:type="dxa"/>
        </w:tblCellMar>
      </w:tblPr>
      <w:tblGrid>
        <w:gridCol w:w="1081"/>
        <w:gridCol w:w="8491"/>
        <w:gridCol w:w="541"/>
      </w:tblGrid>
      <w:tr>
        <w:trPr/>
        <w:tc>
          <w:tcPr>
            <w:tcW w:w="1081" w:type="dxa"/>
            <w:tcBorders/>
            <w:shd w:fill="auto" w:val="clear"/>
            <w:vAlign w:val="center"/>
          </w:tcPr>
          <w:p>
            <w:pPr>
              <w:pStyle w:val="TableContents"/>
              <w:spacing w:before="0" w:after="0"/>
              <w:ind w:left="0" w:right="0" w:hanging="0"/>
              <w:rPr/>
            </w:pPr>
            <w:r>
              <w:rPr/>
              <w:t>​</w:t>
            </w:r>
          </w:p>
        </w:tc>
        <w:tc>
          <w:tcPr>
            <w:tcW w:w="849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rPr/>
            </w:pPr>
            <w:r>
              <w:rPr/>
              <w:t>​</w:t>
            </w:r>
          </w:p>
        </w:tc>
      </w:tr>
      <w:tr>
        <w:trPr/>
        <w:tc>
          <w:tcPr>
            <w:tcW w:w="9572" w:type="dxa"/>
            <w:gridSpan w:val="2"/>
            <w:tcBorders/>
            <w:shd w:fill="auto" w:val="clear"/>
            <w:vAlign w:val="center"/>
          </w:tcPr>
          <w:p>
            <w:pPr>
              <w:pStyle w:val="TableContents"/>
              <w:spacing w:before="0" w:after="0"/>
              <w:ind w:left="0" w:right="0" w:hanging="0"/>
              <w:jc w:val="both"/>
              <w:rPr/>
            </w:pPr>
            <w:r>
              <w:rPr/>
              <w:t>​</w:t>
            </w:r>
          </w:p>
        </w:tc>
        <w:tc>
          <w:tcPr>
            <w:tcW w:w="541" w:type="dxa"/>
            <w:tcBorders>
              <w:bottom w:val="single" w:sz="8"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9572" w:type="dxa"/>
            <w:gridSpan w:val="2"/>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9572" w:type="dxa"/>
            <w:gridSpan w:val="2"/>
            <w:tcBorders/>
            <w:shd w:fill="auto" w:val="clear"/>
            <w:vAlign w:val="center"/>
          </w:tcPr>
          <w:p>
            <w:pPr>
              <w:pStyle w:val="TableContents"/>
              <w:spacing w:before="0" w:after="0"/>
              <w:ind w:left="0" w:right="0" w:hanging="0"/>
              <w:jc w:val="both"/>
              <w:rPr/>
            </w:pPr>
            <w:hyperlink w:anchor="INTRODUCTION_430778">
              <w:r>
                <w:rPr>
                  <w:rStyle w:val="InternetLink"/>
                  <w:rFonts w:ascii="Times New Roman;Times;serif" w:hAnsi="Times New Roman;Times;serif"/>
                  <w:b w:val="false"/>
                  <w:i w:val="false"/>
                  <w:caps w:val="false"/>
                  <w:smallCaps w:val="false"/>
                  <w:sz w:val="20"/>
                </w:rPr>
                <w:t>INTRODUCTION</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9572" w:type="dxa"/>
            <w:gridSpan w:val="2"/>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9572" w:type="dxa"/>
            <w:gridSpan w:val="2"/>
            <w:tcBorders/>
            <w:shd w:fill="auto" w:val="clear"/>
            <w:vAlign w:val="center"/>
          </w:tcPr>
          <w:p>
            <w:pPr>
              <w:pStyle w:val="TableContents"/>
              <w:spacing w:before="0" w:after="0"/>
              <w:ind w:left="0" w:right="0" w:hanging="0"/>
              <w:jc w:val="both"/>
              <w:rPr/>
            </w:pPr>
            <w:hyperlink w:anchor="FORWARDLOOKINGINFORMATION_503423">
              <w:r>
                <w:rPr>
                  <w:rStyle w:val="InternetLink"/>
                  <w:rFonts w:ascii="Times New Roman;Times;serif" w:hAnsi="Times New Roman;Times;serif"/>
                  <w:b w:val="false"/>
                  <w:i w:val="false"/>
                  <w:caps w:val="false"/>
                  <w:smallCaps w:val="false"/>
                  <w:sz w:val="20"/>
                </w:rPr>
                <w:t>FORWARD-LOOKING INFORMATION</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iii</w:t>
            </w:r>
          </w:p>
        </w:tc>
      </w:tr>
      <w:tr>
        <w:trPr/>
        <w:tc>
          <w:tcPr>
            <w:tcW w:w="9572" w:type="dxa"/>
            <w:gridSpan w:val="2"/>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9572" w:type="dxa"/>
            <w:gridSpan w:val="2"/>
            <w:tcBorders/>
            <w:shd w:fill="auto" w:val="clear"/>
            <w:vAlign w:val="center"/>
          </w:tcPr>
          <w:p>
            <w:pPr>
              <w:pStyle w:val="TableContents"/>
              <w:spacing w:before="0" w:after="0"/>
              <w:ind w:left="0" w:right="0" w:hanging="0"/>
              <w:jc w:val="both"/>
              <w:rPr/>
            </w:pPr>
            <w:hyperlink w:anchor="PARTI_291057">
              <w:r>
                <w:rPr>
                  <w:rStyle w:val="InternetLink"/>
                  <w:rFonts w:ascii="Times New Roman;Times;serif" w:hAnsi="Times New Roman;Times;serif"/>
                  <w:b w:val="false"/>
                  <w:i w:val="false"/>
                  <w:caps w:val="false"/>
                  <w:smallCaps w:val="false"/>
                  <w:sz w:val="20"/>
                </w:rPr>
                <w:t>PART I</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572" w:type="dxa"/>
            <w:gridSpan w:val="2"/>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jc w:val="center"/>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8491" w:type="dxa"/>
            <w:tcBorders/>
            <w:shd w:fill="auto" w:val="clear"/>
            <w:vAlign w:val="center"/>
          </w:tcPr>
          <w:p>
            <w:pPr>
              <w:pStyle w:val="TableContents"/>
              <w:spacing w:before="0" w:after="0"/>
              <w:ind w:left="0" w:right="0" w:hanging="0"/>
              <w:jc w:val="both"/>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81" w:type="dxa"/>
            <w:tcBorders/>
            <w:shd w:fill="auto" w:val="clear"/>
            <w:vAlign w:val="center"/>
          </w:tcPr>
          <w:p>
            <w:pPr>
              <w:pStyle w:val="TableContents"/>
              <w:spacing w:before="0" w:after="0"/>
              <w:ind w:left="0" w:right="0" w:hanging="0"/>
              <w:jc w:val="center"/>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8491" w:type="dxa"/>
            <w:tcBorders/>
            <w:shd w:fill="auto" w:val="clear"/>
            <w:vAlign w:val="center"/>
          </w:tcPr>
          <w:p>
            <w:pPr>
              <w:pStyle w:val="TableContents"/>
              <w:spacing w:before="0" w:after="0"/>
              <w:ind w:left="0" w:right="0" w:hanging="0"/>
              <w:jc w:val="both"/>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81" w:type="dxa"/>
            <w:tcBorders/>
            <w:shd w:fill="auto" w:val="clear"/>
            <w:vAlign w:val="center"/>
          </w:tcPr>
          <w:p>
            <w:pPr>
              <w:pStyle w:val="TableContents"/>
              <w:spacing w:before="0" w:after="0"/>
              <w:ind w:left="0" w:right="0" w:hanging="0"/>
              <w:jc w:val="center"/>
              <w:rPr/>
            </w:pPr>
            <w:hyperlink w:anchor="ITEM3KEYINFORMATION_947184">
              <w:r>
                <w:rPr>
                  <w:rStyle w:val="InternetLink"/>
                  <w:rFonts w:ascii="Times New Roman;Times;serif" w:hAnsi="Times New Roman;Times;serif"/>
                  <w:b w:val="false"/>
                  <w:i w:val="false"/>
                  <w:caps w:val="false"/>
                  <w:smallCaps w:val="false"/>
                  <w:sz w:val="20"/>
                </w:rPr>
                <w:t>ITEM 3.</w:t>
              </w:r>
            </w:hyperlink>
          </w:p>
        </w:tc>
        <w:tc>
          <w:tcPr>
            <w:tcW w:w="8491" w:type="dxa"/>
            <w:tcBorders/>
            <w:shd w:fill="auto" w:val="clear"/>
            <w:vAlign w:val="center"/>
          </w:tcPr>
          <w:p>
            <w:pPr>
              <w:pStyle w:val="TableContents"/>
              <w:spacing w:before="0" w:after="0"/>
              <w:ind w:left="0" w:right="0" w:hanging="0"/>
              <w:jc w:val="both"/>
              <w:rPr/>
            </w:pPr>
            <w:hyperlink w:anchor="ITEM3KEYINFORMATION_947184">
              <w:r>
                <w:rPr>
                  <w:rStyle w:val="InternetLink"/>
                  <w:rFonts w:ascii="Times New Roman;Times;serif" w:hAnsi="Times New Roman;Times;serif"/>
                  <w:b w:val="false"/>
                  <w:i w:val="false"/>
                  <w:caps w:val="false"/>
                  <w:smallCaps w:val="false"/>
                  <w:sz w:val="20"/>
                </w:rPr>
                <w:t>KEY INFORMATION</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81" w:type="dxa"/>
            <w:tcBorders/>
            <w:shd w:fill="auto" w:val="clear"/>
            <w:vAlign w:val="center"/>
          </w:tcPr>
          <w:p>
            <w:pPr>
              <w:pStyle w:val="TableContents"/>
              <w:spacing w:before="0" w:after="0"/>
              <w:ind w:left="0" w:right="0" w:hanging="0"/>
              <w:jc w:val="center"/>
              <w:rPr/>
            </w:pPr>
            <w:hyperlink w:anchor="ITEM4INFORMATIONONTHECOMPANY_346493">
              <w:r>
                <w:rPr>
                  <w:rStyle w:val="InternetLink"/>
                  <w:rFonts w:ascii="Times New Roman;Times;serif" w:hAnsi="Times New Roman;Times;serif"/>
                  <w:b w:val="false"/>
                  <w:i w:val="false"/>
                  <w:caps w:val="false"/>
                  <w:smallCaps w:val="false"/>
                  <w:sz w:val="20"/>
                </w:rPr>
                <w:t>ITEM 4.</w:t>
              </w:r>
            </w:hyperlink>
          </w:p>
        </w:tc>
        <w:tc>
          <w:tcPr>
            <w:tcW w:w="8491" w:type="dxa"/>
            <w:tcBorders/>
            <w:shd w:fill="auto" w:val="clear"/>
            <w:vAlign w:val="center"/>
          </w:tcPr>
          <w:p>
            <w:pPr>
              <w:pStyle w:val="TableContents"/>
              <w:spacing w:before="0" w:after="0"/>
              <w:ind w:left="0" w:right="0" w:hanging="0"/>
              <w:jc w:val="both"/>
              <w:rPr/>
            </w:pPr>
            <w:hyperlink w:anchor="ITEM4INFORMATIONONTHECOMPANY_346493">
              <w:r>
                <w:rPr>
                  <w:rStyle w:val="InternetLink"/>
                  <w:rFonts w:ascii="Times New Roman;Times;serif" w:hAnsi="Times New Roman;Times;serif"/>
                  <w:b w:val="false"/>
                  <w:i w:val="false"/>
                  <w:caps w:val="false"/>
                  <w:smallCaps w:val="false"/>
                  <w:sz w:val="20"/>
                </w:rPr>
                <w:t>INFORMATION ON THE COMPANY</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081" w:type="dxa"/>
            <w:tcBorders/>
            <w:shd w:fill="auto" w:val="clear"/>
            <w:vAlign w:val="center"/>
          </w:tcPr>
          <w:p>
            <w:pPr>
              <w:pStyle w:val="TableContents"/>
              <w:spacing w:before="0" w:after="0"/>
              <w:ind w:left="0" w:right="0" w:hanging="0"/>
              <w:jc w:val="center"/>
              <w:rPr/>
            </w:pPr>
            <w:hyperlink w:anchor="ITEM4AUNRESOLVEDSTAFFCOMMENTS_438635">
              <w:r>
                <w:rPr>
                  <w:rStyle w:val="InternetLink"/>
                  <w:rFonts w:ascii="Times New Roman;Times;serif" w:hAnsi="Times New Roman;Times;serif"/>
                  <w:b w:val="false"/>
                  <w:i w:val="false"/>
                  <w:caps w:val="false"/>
                  <w:smallCaps w:val="false"/>
                  <w:sz w:val="20"/>
                </w:rPr>
                <w:t xml:space="preserve">ITEM 4A. </w:t>
              </w:r>
            </w:hyperlink>
          </w:p>
        </w:tc>
        <w:tc>
          <w:tcPr>
            <w:tcW w:w="8491" w:type="dxa"/>
            <w:tcBorders/>
            <w:shd w:fill="auto" w:val="clear"/>
            <w:vAlign w:val="center"/>
          </w:tcPr>
          <w:p>
            <w:pPr>
              <w:pStyle w:val="TableContents"/>
              <w:spacing w:before="0" w:after="0"/>
              <w:ind w:left="0" w:right="0" w:hanging="0"/>
              <w:jc w:val="both"/>
              <w:rPr/>
            </w:pPr>
            <w:hyperlink w:anchor="ITEM4AUNRESOLVEDSTAFFCOMMENTS_438635">
              <w:r>
                <w:rPr>
                  <w:rStyle w:val="InternetLink"/>
                  <w:rFonts w:ascii="Times New Roman;Times;serif" w:hAnsi="Times New Roman;Times;serif"/>
                  <w:b w:val="false"/>
                  <w:i w:val="false"/>
                  <w:caps w:val="false"/>
                  <w:smallCaps w:val="false"/>
                  <w:sz w:val="20"/>
                </w:rPr>
                <w:t>UNRESOLVED STAFF COMMENTS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081" w:type="dxa"/>
            <w:tcBorders/>
            <w:shd w:fill="auto" w:val="clear"/>
            <w:vAlign w:val="center"/>
          </w:tcPr>
          <w:p>
            <w:pPr>
              <w:pStyle w:val="TableContents"/>
              <w:spacing w:before="0" w:after="0"/>
              <w:ind w:left="0" w:right="0" w:hanging="0"/>
              <w:jc w:val="center"/>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8491" w:type="dxa"/>
            <w:tcBorders/>
            <w:shd w:fill="auto" w:val="clear"/>
            <w:vAlign w:val="center"/>
          </w:tcPr>
          <w:p>
            <w:pPr>
              <w:pStyle w:val="TableContents"/>
              <w:spacing w:before="0" w:after="0"/>
              <w:ind w:left="0" w:right="0" w:hanging="0"/>
              <w:jc w:val="both"/>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081" w:type="dxa"/>
            <w:tcBorders/>
            <w:shd w:fill="auto" w:val="clear"/>
            <w:vAlign w:val="center"/>
          </w:tcPr>
          <w:p>
            <w:pPr>
              <w:pStyle w:val="TableContents"/>
              <w:spacing w:before="0" w:after="0"/>
              <w:ind w:left="0" w:right="0" w:hanging="0"/>
              <w:jc w:val="center"/>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8491" w:type="dxa"/>
            <w:tcBorders/>
            <w:shd w:fill="auto" w:val="clear"/>
            <w:vAlign w:val="center"/>
          </w:tcPr>
          <w:p>
            <w:pPr>
              <w:pStyle w:val="TableContents"/>
              <w:spacing w:before="0" w:after="0"/>
              <w:ind w:left="0" w:right="0" w:hanging="0"/>
              <w:jc w:val="both"/>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081" w:type="dxa"/>
            <w:tcBorders/>
            <w:shd w:fill="auto" w:val="clear"/>
            <w:vAlign w:val="center"/>
          </w:tcPr>
          <w:p>
            <w:pPr>
              <w:pStyle w:val="TableContents"/>
              <w:spacing w:before="0" w:after="0"/>
              <w:ind w:left="0" w:right="0" w:hanging="0"/>
              <w:jc w:val="center"/>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8491" w:type="dxa"/>
            <w:tcBorders/>
            <w:shd w:fill="auto" w:val="clear"/>
            <w:vAlign w:val="center"/>
          </w:tcPr>
          <w:p>
            <w:pPr>
              <w:pStyle w:val="TableContents"/>
              <w:spacing w:before="0" w:after="0"/>
              <w:ind w:left="0" w:right="0" w:hanging="0"/>
              <w:jc w:val="both"/>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081" w:type="dxa"/>
            <w:tcBorders/>
            <w:shd w:fill="auto" w:val="clear"/>
            <w:vAlign w:val="center"/>
          </w:tcPr>
          <w:p>
            <w:pPr>
              <w:pStyle w:val="TableContents"/>
              <w:spacing w:before="0" w:after="0"/>
              <w:ind w:left="0" w:right="0" w:hanging="0"/>
              <w:jc w:val="center"/>
              <w:rPr/>
            </w:pPr>
            <w:hyperlink w:anchor="ITEM8FINANCIALINFORMATION_221979">
              <w:r>
                <w:rPr>
                  <w:rStyle w:val="InternetLink"/>
                  <w:rFonts w:ascii="Times New Roman;Times;serif" w:hAnsi="Times New Roman;Times;serif"/>
                  <w:b w:val="false"/>
                  <w:i w:val="false"/>
                  <w:caps w:val="false"/>
                  <w:smallCaps w:val="false"/>
                  <w:sz w:val="20"/>
                </w:rPr>
                <w:t>ITEM 8.</w:t>
              </w:r>
            </w:hyperlink>
          </w:p>
        </w:tc>
        <w:tc>
          <w:tcPr>
            <w:tcW w:w="8491" w:type="dxa"/>
            <w:tcBorders/>
            <w:shd w:fill="auto" w:val="clear"/>
            <w:vAlign w:val="center"/>
          </w:tcPr>
          <w:p>
            <w:pPr>
              <w:pStyle w:val="TableContents"/>
              <w:spacing w:before="0" w:after="0"/>
              <w:ind w:left="0" w:right="0" w:hanging="0"/>
              <w:jc w:val="both"/>
              <w:rPr/>
            </w:pPr>
            <w:hyperlink w:anchor="ITEM8FINANCIALINFORMATION_221979">
              <w:r>
                <w:rPr>
                  <w:rStyle w:val="InternetLink"/>
                  <w:rFonts w:ascii="Times New Roman;Times;serif" w:hAnsi="Times New Roman;Times;serif"/>
                  <w:b w:val="false"/>
                  <w:i w:val="false"/>
                  <w:caps w:val="false"/>
                  <w:smallCaps w:val="false"/>
                  <w:sz w:val="20"/>
                </w:rPr>
                <w:t>FINANCIAL INFORMATION</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081" w:type="dxa"/>
            <w:tcBorders/>
            <w:shd w:fill="auto" w:val="clear"/>
            <w:vAlign w:val="center"/>
          </w:tcPr>
          <w:p>
            <w:pPr>
              <w:pStyle w:val="TableContents"/>
              <w:spacing w:before="0" w:after="0"/>
              <w:ind w:left="0" w:right="0" w:hanging="0"/>
              <w:jc w:val="center"/>
              <w:rPr/>
            </w:pPr>
            <w:hyperlink w:anchor="ITEM9THEOFFERANDLISTING_656248">
              <w:r>
                <w:rPr>
                  <w:rStyle w:val="InternetLink"/>
                  <w:rFonts w:ascii="Times New Roman;Times;serif" w:hAnsi="Times New Roman;Times;serif"/>
                  <w:b w:val="false"/>
                  <w:i w:val="false"/>
                  <w:caps w:val="false"/>
                  <w:smallCaps w:val="false"/>
                  <w:sz w:val="20"/>
                </w:rPr>
                <w:t>ITEM 9.</w:t>
              </w:r>
            </w:hyperlink>
          </w:p>
        </w:tc>
        <w:tc>
          <w:tcPr>
            <w:tcW w:w="8491" w:type="dxa"/>
            <w:tcBorders/>
            <w:shd w:fill="auto" w:val="clear"/>
            <w:vAlign w:val="center"/>
          </w:tcPr>
          <w:p>
            <w:pPr>
              <w:pStyle w:val="TableContents"/>
              <w:spacing w:before="0" w:after="0"/>
              <w:ind w:left="0" w:right="0" w:hanging="0"/>
              <w:jc w:val="both"/>
              <w:rPr/>
            </w:pPr>
            <w:hyperlink w:anchor="ITEM9THEOFFERANDLISTING_656248">
              <w:r>
                <w:rPr>
                  <w:rStyle w:val="InternetLink"/>
                  <w:rFonts w:ascii="Times New Roman;Times;serif" w:hAnsi="Times New Roman;Times;serif"/>
                  <w:b w:val="false"/>
                  <w:i w:val="false"/>
                  <w:caps w:val="false"/>
                  <w:smallCaps w:val="false"/>
                  <w:sz w:val="20"/>
                </w:rPr>
                <w:t>THE OFFER AND LISTING</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081" w:type="dxa"/>
            <w:tcBorders/>
            <w:shd w:fill="auto" w:val="clear"/>
            <w:vAlign w:val="center"/>
          </w:tcPr>
          <w:p>
            <w:pPr>
              <w:pStyle w:val="TableContents"/>
              <w:spacing w:before="0" w:after="0"/>
              <w:ind w:left="0" w:right="0" w:hanging="0"/>
              <w:jc w:val="center"/>
              <w:rPr/>
            </w:pPr>
            <w:hyperlink w:anchor="ITEM10ADDITIONALINFORMATION_776703">
              <w:r>
                <w:rPr>
                  <w:rStyle w:val="InternetLink"/>
                  <w:rFonts w:ascii="Times New Roman;Times;serif" w:hAnsi="Times New Roman;Times;serif"/>
                  <w:b w:val="false"/>
                  <w:i w:val="false"/>
                  <w:caps w:val="false"/>
                  <w:smallCaps w:val="false"/>
                  <w:sz w:val="20"/>
                </w:rPr>
                <w:t>ITEM 10.</w:t>
              </w:r>
            </w:hyperlink>
          </w:p>
        </w:tc>
        <w:tc>
          <w:tcPr>
            <w:tcW w:w="8491" w:type="dxa"/>
            <w:tcBorders/>
            <w:shd w:fill="auto" w:val="clear"/>
            <w:vAlign w:val="center"/>
          </w:tcPr>
          <w:p>
            <w:pPr>
              <w:pStyle w:val="TableContents"/>
              <w:spacing w:before="0" w:after="0"/>
              <w:ind w:left="0" w:right="0" w:hanging="0"/>
              <w:jc w:val="both"/>
              <w:rPr/>
            </w:pPr>
            <w:hyperlink w:anchor="ITEM10ADDITIONALINFORMATION_776703">
              <w:r>
                <w:rPr>
                  <w:rStyle w:val="InternetLink"/>
                  <w:rFonts w:ascii="Times New Roman;Times;serif" w:hAnsi="Times New Roman;Times;serif"/>
                  <w:b w:val="false"/>
                  <w:i w:val="false"/>
                  <w:caps w:val="false"/>
                  <w:smallCaps w:val="false"/>
                  <w:sz w:val="20"/>
                </w:rPr>
                <w:t>ADDITIONAL INFORMATION</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081" w:type="dxa"/>
            <w:tcBorders/>
            <w:shd w:fill="auto" w:val="clear"/>
            <w:vAlign w:val="center"/>
          </w:tcPr>
          <w:p>
            <w:pPr>
              <w:pStyle w:val="TableContents"/>
              <w:spacing w:before="0" w:after="0"/>
              <w:ind w:left="0" w:right="0" w:hanging="0"/>
              <w:jc w:val="center"/>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8491" w:type="dxa"/>
            <w:tcBorders/>
            <w:shd w:fill="auto" w:val="clear"/>
            <w:vAlign w:val="center"/>
          </w:tcPr>
          <w:p>
            <w:pPr>
              <w:pStyle w:val="TableContents"/>
              <w:spacing w:before="0" w:after="0"/>
              <w:ind w:left="0" w:right="0" w:hanging="0"/>
              <w:jc w:val="both"/>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81" w:type="dxa"/>
            <w:tcBorders/>
            <w:shd w:fill="auto" w:val="clear"/>
            <w:vAlign w:val="center"/>
          </w:tcPr>
          <w:p>
            <w:pPr>
              <w:pStyle w:val="TableContents"/>
              <w:spacing w:before="0" w:after="0"/>
              <w:ind w:left="0" w:right="0" w:hanging="0"/>
              <w:jc w:val="center"/>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8491" w:type="dxa"/>
            <w:tcBorders/>
            <w:shd w:fill="auto" w:val="clear"/>
            <w:vAlign w:val="center"/>
          </w:tcPr>
          <w:p>
            <w:pPr>
              <w:pStyle w:val="TableContents"/>
              <w:spacing w:before="0" w:after="0"/>
              <w:ind w:left="0" w:right="0" w:hanging="0"/>
              <w:jc w:val="both"/>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081" w:type="dxa"/>
            <w:tcBorders/>
            <w:shd w:fill="auto" w:val="clear"/>
            <w:vAlign w:val="center"/>
          </w:tcPr>
          <w:p>
            <w:pPr>
              <w:pStyle w:val="TableContents"/>
              <w:spacing w:before="0" w:after="0"/>
              <w:ind w:left="0" w:right="0" w:hanging="0"/>
              <w:jc w:val="center"/>
              <w:rPr/>
            </w:pPr>
            <w:r>
              <w:rPr/>
              <w:t>​</w:t>
            </w:r>
          </w:p>
        </w:tc>
        <w:tc>
          <w:tcPr>
            <w:tcW w:w="8491"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9572" w:type="dxa"/>
            <w:gridSpan w:val="2"/>
            <w:tcBorders/>
            <w:shd w:fill="auto" w:val="clear"/>
            <w:vAlign w:val="center"/>
          </w:tcPr>
          <w:p>
            <w:pPr>
              <w:pStyle w:val="TableContents"/>
              <w:spacing w:before="0" w:after="0"/>
              <w:ind w:left="0" w:right="0" w:hanging="0"/>
              <w:rPr/>
            </w:pPr>
            <w:hyperlink w:anchor="PARTII_917992">
              <w:r>
                <w:rPr>
                  <w:rStyle w:val="InternetLink"/>
                  <w:rFonts w:ascii="Times New Roman;Times;serif" w:hAnsi="Times New Roman;Times;serif"/>
                  <w:b w:val="false"/>
                  <w:i w:val="false"/>
                  <w:caps w:val="false"/>
                  <w:smallCaps w:val="false"/>
                  <w:sz w:val="20"/>
                </w:rPr>
                <w:t>PART II</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9572" w:type="dxa"/>
            <w:gridSpan w:val="2"/>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jc w:val="center"/>
              <w:rPr/>
            </w:pPr>
            <w:hyperlink w:anchor="ITEM13ITEMDEFAULTSDIVIDENDARREARAGESANDD">
              <w:r>
                <w:rPr>
                  <w:rStyle w:val="InternetLink"/>
                  <w:rFonts w:ascii="Times New Roman;Times;serif" w:hAnsi="Times New Roman;Times;serif"/>
                  <w:b w:val="false"/>
                  <w:i w:val="false"/>
                  <w:caps w:val="false"/>
                  <w:smallCaps w:val="false"/>
                  <w:sz w:val="20"/>
                </w:rPr>
                <w:t>ITEM 13.</w:t>
              </w:r>
            </w:hyperlink>
          </w:p>
        </w:tc>
        <w:tc>
          <w:tcPr>
            <w:tcW w:w="8491" w:type="dxa"/>
            <w:tcBorders/>
            <w:shd w:fill="auto" w:val="clear"/>
            <w:vAlign w:val="center"/>
          </w:tcPr>
          <w:p>
            <w:pPr>
              <w:pStyle w:val="TableContents"/>
              <w:spacing w:before="0" w:after="0"/>
              <w:ind w:left="0" w:right="0" w:hanging="0"/>
              <w:jc w:val="both"/>
              <w:rPr/>
            </w:pPr>
            <w:hyperlink w:anchor="ITEM13ITEMDEFAULTSDIVIDENDARREARAGESANDD">
              <w:r>
                <w:rPr>
                  <w:rStyle w:val="InternetLink"/>
                  <w:rFonts w:ascii="Times New Roman;Times;serif" w:hAnsi="Times New Roman;Times;serif"/>
                  <w:b w:val="false"/>
                  <w:i w:val="false"/>
                  <w:caps w:val="false"/>
                  <w:smallCaps w:val="false"/>
                  <w:sz w:val="20"/>
                </w:rPr>
                <w:t>DEFAULTS, DIVIDEND ARREARAGES AND DELINQUENCIES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81" w:type="dxa"/>
            <w:tcBorders/>
            <w:shd w:fill="auto" w:val="clear"/>
            <w:vAlign w:val="center"/>
          </w:tcPr>
          <w:p>
            <w:pPr>
              <w:pStyle w:val="TableContents"/>
              <w:spacing w:before="0" w:after="0"/>
              <w:ind w:left="0" w:right="0" w:hanging="0"/>
              <w:jc w:val="center"/>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8491" w:type="dxa"/>
            <w:tcBorders/>
            <w:shd w:fill="auto" w:val="clear"/>
            <w:vAlign w:val="center"/>
          </w:tcPr>
          <w:p>
            <w:pPr>
              <w:pStyle w:val="TableContents"/>
              <w:spacing w:before="0" w:after="0"/>
              <w:ind w:left="0" w:right="0" w:hanging="0"/>
              <w:jc w:val="both"/>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81" w:type="dxa"/>
            <w:tcBorders/>
            <w:shd w:fill="auto" w:val="clear"/>
            <w:vAlign w:val="center"/>
          </w:tcPr>
          <w:p>
            <w:pPr>
              <w:pStyle w:val="TableContents"/>
              <w:spacing w:before="0" w:after="0"/>
              <w:ind w:left="0" w:right="0" w:hanging="0"/>
              <w:jc w:val="center"/>
              <w:rPr/>
            </w:pPr>
            <w:hyperlink w:anchor="ITEM15CONTROLSANDPROCEDURES_663982">
              <w:r>
                <w:rPr>
                  <w:rStyle w:val="InternetLink"/>
                  <w:rFonts w:ascii="Times New Roman;Times;serif" w:hAnsi="Times New Roman;Times;serif"/>
                  <w:b w:val="false"/>
                  <w:i w:val="false"/>
                  <w:caps w:val="false"/>
                  <w:smallCaps w:val="false"/>
                  <w:sz w:val="20"/>
                </w:rPr>
                <w:t>ITEM 15.</w:t>
              </w:r>
            </w:hyperlink>
          </w:p>
        </w:tc>
        <w:tc>
          <w:tcPr>
            <w:tcW w:w="8491" w:type="dxa"/>
            <w:tcBorders/>
            <w:shd w:fill="auto" w:val="clear"/>
            <w:vAlign w:val="center"/>
          </w:tcPr>
          <w:p>
            <w:pPr>
              <w:pStyle w:val="TableContents"/>
              <w:spacing w:before="0" w:after="0"/>
              <w:ind w:left="0" w:right="0" w:hanging="0"/>
              <w:jc w:val="both"/>
              <w:rPr/>
            </w:pPr>
            <w:hyperlink w:anchor="ITEM15CONTROLSANDPROCEDURES_663982">
              <w:r>
                <w:rPr>
                  <w:rStyle w:val="InternetLink"/>
                  <w:rFonts w:ascii="Times New Roman;Times;serif" w:hAnsi="Times New Roman;Times;serif"/>
                  <w:b w:val="false"/>
                  <w:i w:val="false"/>
                  <w:caps w:val="false"/>
                  <w:smallCaps w:val="false"/>
                  <w:sz w:val="20"/>
                </w:rPr>
                <w:t>CONTROLS AND PROCEDURES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81" w:type="dxa"/>
            <w:tcBorders/>
            <w:shd w:fill="auto" w:val="clear"/>
            <w:vAlign w:val="center"/>
          </w:tcPr>
          <w:p>
            <w:pPr>
              <w:pStyle w:val="TableContents"/>
              <w:spacing w:before="0" w:after="0"/>
              <w:ind w:left="0" w:right="0" w:hanging="0"/>
              <w:jc w:val="center"/>
              <w:rPr/>
            </w:pPr>
            <w:hyperlink w:anchor="ITEM16AAUDITCOMMITTEEFINANCIALEXPERT_521">
              <w:r>
                <w:rPr>
                  <w:rStyle w:val="InternetLink"/>
                  <w:rFonts w:ascii="Times New Roman;Times;serif" w:hAnsi="Times New Roman;Times;serif"/>
                  <w:b w:val="false"/>
                  <w:i w:val="false"/>
                  <w:caps w:val="false"/>
                  <w:smallCaps w:val="false"/>
                  <w:sz w:val="20"/>
                </w:rPr>
                <w:t>ITEM 16.A.</w:t>
              </w:r>
            </w:hyperlink>
          </w:p>
        </w:tc>
        <w:tc>
          <w:tcPr>
            <w:tcW w:w="8491" w:type="dxa"/>
            <w:tcBorders/>
            <w:shd w:fill="auto" w:val="clear"/>
            <w:vAlign w:val="center"/>
          </w:tcPr>
          <w:p>
            <w:pPr>
              <w:pStyle w:val="TableContents"/>
              <w:spacing w:before="0" w:after="0"/>
              <w:ind w:left="0" w:right="0" w:hanging="0"/>
              <w:jc w:val="both"/>
              <w:rPr/>
            </w:pPr>
            <w:hyperlink w:anchor="ITEM16AAUDITCOMMITTEEFINANCIALEXPERT_521">
              <w:r>
                <w:rPr>
                  <w:rStyle w:val="InternetLink"/>
                  <w:rFonts w:ascii="Times New Roman;Times;serif" w:hAnsi="Times New Roman;Times;serif"/>
                  <w:b w:val="false"/>
                  <w:i w:val="false"/>
                  <w:caps w:val="false"/>
                  <w:smallCaps w:val="false"/>
                  <w:sz w:val="20"/>
                </w:rPr>
                <w:t>AUDIT COMMITTEE FINANCIAL EXPERT</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1081" w:type="dxa"/>
            <w:tcBorders/>
            <w:shd w:fill="auto" w:val="clear"/>
            <w:vAlign w:val="center"/>
          </w:tcPr>
          <w:p>
            <w:pPr>
              <w:pStyle w:val="TableContents"/>
              <w:spacing w:before="0" w:after="0"/>
              <w:ind w:left="0" w:right="0" w:hanging="0"/>
              <w:jc w:val="center"/>
              <w:rPr/>
            </w:pPr>
            <w:hyperlink w:anchor="ITEM16BCODEOFETHICS_871848">
              <w:r>
                <w:rPr>
                  <w:rStyle w:val="InternetLink"/>
                  <w:rFonts w:ascii="Times New Roman;Times;serif" w:hAnsi="Times New Roman;Times;serif"/>
                  <w:b w:val="false"/>
                  <w:i w:val="false"/>
                  <w:caps w:val="false"/>
                  <w:smallCaps w:val="false"/>
                  <w:sz w:val="20"/>
                </w:rPr>
                <w:t>ITEM 16.B.</w:t>
              </w:r>
            </w:hyperlink>
          </w:p>
        </w:tc>
        <w:tc>
          <w:tcPr>
            <w:tcW w:w="8491" w:type="dxa"/>
            <w:tcBorders/>
            <w:shd w:fill="auto" w:val="clear"/>
            <w:vAlign w:val="center"/>
          </w:tcPr>
          <w:p>
            <w:pPr>
              <w:pStyle w:val="TableContents"/>
              <w:spacing w:before="0" w:after="0"/>
              <w:ind w:left="0" w:right="0" w:hanging="0"/>
              <w:jc w:val="both"/>
              <w:rPr/>
            </w:pPr>
            <w:hyperlink w:anchor="ITEM16BCODEOFETHICS_871848">
              <w:r>
                <w:rPr>
                  <w:rStyle w:val="InternetLink"/>
                  <w:rFonts w:ascii="Times New Roman;Times;serif" w:hAnsi="Times New Roman;Times;serif"/>
                  <w:b w:val="false"/>
                  <w:i w:val="false"/>
                  <w:caps w:val="false"/>
                  <w:smallCaps w:val="false"/>
                  <w:sz w:val="20"/>
                </w:rPr>
                <w:t>CODE OF ETHICS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1081" w:type="dxa"/>
            <w:tcBorders/>
            <w:shd w:fill="auto" w:val="clear"/>
            <w:vAlign w:val="center"/>
          </w:tcPr>
          <w:p>
            <w:pPr>
              <w:pStyle w:val="TableContents"/>
              <w:spacing w:before="0" w:after="0"/>
              <w:ind w:left="0" w:right="0" w:hanging="0"/>
              <w:jc w:val="center"/>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8491" w:type="dxa"/>
            <w:tcBorders/>
            <w:shd w:fill="auto" w:val="clear"/>
            <w:vAlign w:val="center"/>
          </w:tcPr>
          <w:p>
            <w:pPr>
              <w:pStyle w:val="TableContents"/>
              <w:spacing w:before="0" w:after="0"/>
              <w:ind w:left="0" w:right="0" w:hanging="0"/>
              <w:jc w:val="both"/>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81" w:type="dxa"/>
            <w:tcBorders/>
            <w:shd w:fill="auto" w:val="clear"/>
            <w:vAlign w:val="center"/>
          </w:tcPr>
          <w:p>
            <w:pPr>
              <w:pStyle w:val="TableContents"/>
              <w:spacing w:before="0" w:after="0"/>
              <w:ind w:left="0" w:right="0" w:hanging="0"/>
              <w:jc w:val="center"/>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8491" w:type="dxa"/>
            <w:tcBorders/>
            <w:shd w:fill="auto" w:val="clear"/>
            <w:vAlign w:val="center"/>
          </w:tcPr>
          <w:p>
            <w:pPr>
              <w:pStyle w:val="TableContents"/>
              <w:spacing w:before="0" w:after="0"/>
              <w:ind w:left="0" w:right="0" w:hanging="0"/>
              <w:jc w:val="both"/>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81" w:type="dxa"/>
            <w:tcBorders/>
            <w:shd w:fill="auto" w:val="clear"/>
            <w:vAlign w:val="center"/>
          </w:tcPr>
          <w:p>
            <w:pPr>
              <w:pStyle w:val="TableContents"/>
              <w:spacing w:before="0" w:after="0"/>
              <w:ind w:left="0" w:right="0" w:hanging="0"/>
              <w:jc w:val="center"/>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8491" w:type="dxa"/>
            <w:tcBorders/>
            <w:shd w:fill="auto" w:val="clear"/>
            <w:vAlign w:val="center"/>
          </w:tcPr>
          <w:p>
            <w:pPr>
              <w:pStyle w:val="TableContents"/>
              <w:spacing w:before="0" w:after="0"/>
              <w:ind w:left="0" w:right="0" w:hanging="0"/>
              <w:jc w:val="both"/>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81" w:type="dxa"/>
            <w:tcBorders/>
            <w:shd w:fill="auto" w:val="clear"/>
            <w:vAlign w:val="center"/>
          </w:tcPr>
          <w:p>
            <w:pPr>
              <w:pStyle w:val="TableContents"/>
              <w:spacing w:before="0" w:after="0"/>
              <w:ind w:left="0" w:right="0" w:hanging="0"/>
              <w:jc w:val="center"/>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8491" w:type="dxa"/>
            <w:tcBorders/>
            <w:shd w:fill="auto" w:val="clear"/>
            <w:vAlign w:val="center"/>
          </w:tcPr>
          <w:p>
            <w:pPr>
              <w:pStyle w:val="TableContents"/>
              <w:spacing w:before="0" w:after="0"/>
              <w:ind w:left="0" w:right="0" w:hanging="0"/>
              <w:jc w:val="both"/>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81" w:type="dxa"/>
            <w:tcBorders/>
            <w:shd w:fill="auto" w:val="clear"/>
            <w:vAlign w:val="center"/>
          </w:tcPr>
          <w:p>
            <w:pPr>
              <w:pStyle w:val="TableContents"/>
              <w:spacing w:before="0" w:after="0"/>
              <w:ind w:left="0" w:right="0" w:hanging="0"/>
              <w:jc w:val="center"/>
              <w:rPr/>
            </w:pPr>
            <w:hyperlink w:anchor="ITEM16GCORPORATEGOVERNANCE_435937">
              <w:r>
                <w:rPr>
                  <w:rStyle w:val="InternetLink"/>
                  <w:rFonts w:ascii="Times New Roman;Times;serif" w:hAnsi="Times New Roman;Times;serif"/>
                  <w:b w:val="false"/>
                  <w:i w:val="false"/>
                  <w:caps w:val="false"/>
                  <w:smallCaps w:val="false"/>
                  <w:sz w:val="20"/>
                </w:rPr>
                <w:t>ITEM 16.G.</w:t>
              </w:r>
            </w:hyperlink>
          </w:p>
        </w:tc>
        <w:tc>
          <w:tcPr>
            <w:tcW w:w="8491" w:type="dxa"/>
            <w:tcBorders/>
            <w:shd w:fill="auto" w:val="clear"/>
            <w:vAlign w:val="center"/>
          </w:tcPr>
          <w:p>
            <w:pPr>
              <w:pStyle w:val="TableContents"/>
              <w:spacing w:before="0" w:after="0"/>
              <w:ind w:left="0" w:right="0" w:hanging="0"/>
              <w:jc w:val="both"/>
              <w:rPr/>
            </w:pPr>
            <w:hyperlink w:anchor="ITEM16GCORPORATEGOVERNANCE_435937">
              <w:r>
                <w:rPr>
                  <w:rStyle w:val="InternetLink"/>
                  <w:rFonts w:ascii="Times New Roman;Times;serif" w:hAnsi="Times New Roman;Times;serif"/>
                  <w:b w:val="false"/>
                  <w:i w:val="false"/>
                  <w:caps w:val="false"/>
                  <w:smallCaps w:val="false"/>
                  <w:sz w:val="20"/>
                </w:rPr>
                <w:t>CORPORATE GOVERNANCE</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81" w:type="dxa"/>
            <w:tcBorders/>
            <w:shd w:fill="auto" w:val="clear"/>
            <w:vAlign w:val="center"/>
          </w:tcPr>
          <w:p>
            <w:pPr>
              <w:pStyle w:val="TableContents"/>
              <w:spacing w:before="0" w:after="0"/>
              <w:ind w:left="0" w:right="0" w:hanging="0"/>
              <w:jc w:val="center"/>
              <w:rPr/>
            </w:pPr>
            <w:hyperlink w:anchor="ITEM16HMINESAFETYDISCLOSURE_889143">
              <w:r>
                <w:rPr>
                  <w:rStyle w:val="InternetLink"/>
                  <w:rFonts w:ascii="Times New Roman;Times;serif" w:hAnsi="Times New Roman;Times;serif"/>
                  <w:b w:val="false"/>
                  <w:i w:val="false"/>
                  <w:caps w:val="false"/>
                  <w:smallCaps w:val="false"/>
                  <w:sz w:val="20"/>
                </w:rPr>
                <w:t>ITEM 16.H.</w:t>
              </w:r>
            </w:hyperlink>
          </w:p>
        </w:tc>
        <w:tc>
          <w:tcPr>
            <w:tcW w:w="8491" w:type="dxa"/>
            <w:tcBorders/>
            <w:shd w:fill="auto" w:val="clear"/>
            <w:vAlign w:val="center"/>
          </w:tcPr>
          <w:p>
            <w:pPr>
              <w:pStyle w:val="TableContents"/>
              <w:spacing w:before="0" w:after="0"/>
              <w:ind w:left="0" w:right="0" w:hanging="0"/>
              <w:jc w:val="both"/>
              <w:rPr/>
            </w:pPr>
            <w:hyperlink w:anchor="ITEM16HMINESAFETYDISCLOSURE_889143">
              <w:r>
                <w:rPr>
                  <w:rStyle w:val="InternetLink"/>
                  <w:rFonts w:ascii="Times New Roman;Times;serif" w:hAnsi="Times New Roman;Times;serif"/>
                  <w:b w:val="false"/>
                  <w:i w:val="false"/>
                  <w:caps w:val="false"/>
                  <w:smallCaps w:val="false"/>
                  <w:sz w:val="20"/>
                </w:rPr>
                <w:t>MINE SAFETY DISCLOSURE</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81" w:type="dxa"/>
            <w:tcBorders/>
            <w:shd w:fill="auto" w:val="clear"/>
            <w:vAlign w:val="center"/>
          </w:tcPr>
          <w:p>
            <w:pPr>
              <w:pStyle w:val="TableContents"/>
              <w:spacing w:before="0" w:after="0"/>
              <w:ind w:left="0" w:right="0" w:hanging="0"/>
              <w:jc w:val="center"/>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8491" w:type="dxa"/>
            <w:tcBorders/>
            <w:shd w:fill="auto" w:val="clear"/>
            <w:vAlign w:val="center"/>
          </w:tcPr>
          <w:p>
            <w:pPr>
              <w:pStyle w:val="TableContents"/>
              <w:spacing w:before="0" w:after="0"/>
              <w:ind w:left="0" w:right="0" w:hanging="0"/>
              <w:jc w:val="both"/>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081" w:type="dxa"/>
            <w:tcBorders/>
            <w:shd w:fill="auto" w:val="clear"/>
            <w:vAlign w:val="center"/>
          </w:tcPr>
          <w:p>
            <w:pPr>
              <w:pStyle w:val="TableContents"/>
              <w:spacing w:before="0" w:after="0"/>
              <w:ind w:left="0" w:right="0" w:hanging="0"/>
              <w:jc w:val="center"/>
              <w:rPr/>
            </w:pPr>
            <w:r>
              <w:rPr/>
              <w:t>​</w:t>
            </w:r>
          </w:p>
        </w:tc>
        <w:tc>
          <w:tcPr>
            <w:tcW w:w="8491"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9572" w:type="dxa"/>
            <w:gridSpan w:val="2"/>
            <w:tcBorders/>
            <w:shd w:fill="auto" w:val="clear"/>
            <w:vAlign w:val="center"/>
          </w:tcPr>
          <w:p>
            <w:pPr>
              <w:pStyle w:val="TableContents"/>
              <w:spacing w:before="0" w:after="0"/>
              <w:ind w:left="0" w:right="0" w:hanging="0"/>
              <w:jc w:val="both"/>
              <w:rPr/>
            </w:pPr>
            <w:hyperlink w:anchor="PARTIII_467477">
              <w:r>
                <w:rPr>
                  <w:rStyle w:val="InternetLink"/>
                  <w:rFonts w:ascii="Times New Roman;Times;serif" w:hAnsi="Times New Roman;Times;serif"/>
                  <w:b w:val="false"/>
                  <w:i w:val="false"/>
                  <w:caps w:val="false"/>
                  <w:smallCaps w:val="false"/>
                  <w:sz w:val="20"/>
                </w:rPr>
                <w:t>PART III</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9572" w:type="dxa"/>
            <w:gridSpan w:val="2"/>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jc w:val="center"/>
              <w:rPr/>
            </w:pPr>
            <w:hyperlink w:anchor="ITEM17FINANCIALSTATEMENTS_231657">
              <w:r>
                <w:rPr>
                  <w:rStyle w:val="InternetLink"/>
                  <w:rFonts w:ascii="Times New Roman;Times;serif" w:hAnsi="Times New Roman;Times;serif"/>
                  <w:b w:val="false"/>
                  <w:i w:val="false"/>
                  <w:caps w:val="false"/>
                  <w:smallCaps w:val="false"/>
                  <w:sz w:val="20"/>
                </w:rPr>
                <w:t>ITEM 17.</w:t>
              </w:r>
            </w:hyperlink>
          </w:p>
        </w:tc>
        <w:tc>
          <w:tcPr>
            <w:tcW w:w="8491" w:type="dxa"/>
            <w:tcBorders/>
            <w:shd w:fill="auto" w:val="clear"/>
            <w:vAlign w:val="center"/>
          </w:tcPr>
          <w:p>
            <w:pPr>
              <w:pStyle w:val="TableContents"/>
              <w:spacing w:before="0" w:after="0"/>
              <w:ind w:left="0" w:right="0" w:hanging="0"/>
              <w:jc w:val="both"/>
              <w:rPr/>
            </w:pPr>
            <w:hyperlink w:anchor="ITEM17FINANCIALSTATEMENTS_231657">
              <w:r>
                <w:rPr>
                  <w:rStyle w:val="InternetLink"/>
                  <w:rFonts w:ascii="Times New Roman;Times;serif" w:hAnsi="Times New Roman;Times;serif"/>
                  <w:b w:val="false"/>
                  <w:i w:val="false"/>
                  <w:caps w:val="false"/>
                  <w:smallCaps w:val="false"/>
                  <w:sz w:val="20"/>
                </w:rPr>
                <w:t>FINANCIAL STATEMENTS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081" w:type="dxa"/>
            <w:tcBorders/>
            <w:shd w:fill="auto" w:val="clear"/>
            <w:vAlign w:val="center"/>
          </w:tcPr>
          <w:p>
            <w:pPr>
              <w:pStyle w:val="TableContents"/>
              <w:spacing w:before="0" w:after="0"/>
              <w:ind w:left="0" w:right="0" w:hanging="0"/>
              <w:jc w:val="center"/>
              <w:rPr/>
            </w:pPr>
            <w:hyperlink w:anchor="ITEM18FINANCIALSTATEMENTS_151201">
              <w:r>
                <w:rPr>
                  <w:rStyle w:val="InternetLink"/>
                  <w:rFonts w:ascii="Times New Roman;Times;serif" w:hAnsi="Times New Roman;Times;serif"/>
                  <w:b w:val="false"/>
                  <w:i w:val="false"/>
                  <w:caps w:val="false"/>
                  <w:smallCaps w:val="false"/>
                  <w:sz w:val="20"/>
                </w:rPr>
                <w:t>ITEM 18.</w:t>
              </w:r>
            </w:hyperlink>
          </w:p>
        </w:tc>
        <w:tc>
          <w:tcPr>
            <w:tcW w:w="8491" w:type="dxa"/>
            <w:tcBorders/>
            <w:shd w:fill="auto" w:val="clear"/>
            <w:vAlign w:val="center"/>
          </w:tcPr>
          <w:p>
            <w:pPr>
              <w:pStyle w:val="TableContents"/>
              <w:spacing w:before="0" w:after="0"/>
              <w:ind w:left="0" w:right="0" w:hanging="0"/>
              <w:jc w:val="both"/>
              <w:rPr/>
            </w:pPr>
            <w:hyperlink w:anchor="ITEM18FINANCIALSTATEMENTS_151201">
              <w:r>
                <w:rPr>
                  <w:rStyle w:val="InternetLink"/>
                  <w:rFonts w:ascii="Times New Roman;Times;serif" w:hAnsi="Times New Roman;Times;serif"/>
                  <w:b w:val="false"/>
                  <w:i w:val="false"/>
                  <w:caps w:val="false"/>
                  <w:smallCaps w:val="false"/>
                  <w:sz w:val="20"/>
                </w:rPr>
                <w:t>FINANCIAL STATEMENTS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1081" w:type="dxa"/>
            <w:tcBorders/>
            <w:shd w:fill="auto" w:val="clear"/>
            <w:vAlign w:val="center"/>
          </w:tcPr>
          <w:p>
            <w:pPr>
              <w:pStyle w:val="TableContents"/>
              <w:spacing w:before="0" w:after="0"/>
              <w:ind w:left="0" w:right="0" w:hanging="0"/>
              <w:jc w:val="center"/>
              <w:rPr/>
            </w:pPr>
            <w:hyperlink w:anchor="ITEM19EXHIBITS_272146">
              <w:r>
                <w:rPr>
                  <w:rStyle w:val="InternetLink"/>
                  <w:rFonts w:ascii="Times New Roman;Times;serif" w:hAnsi="Times New Roman;Times;serif"/>
                  <w:b w:val="false"/>
                  <w:i w:val="false"/>
                  <w:caps w:val="false"/>
                  <w:smallCaps w:val="false"/>
                  <w:sz w:val="20"/>
                </w:rPr>
                <w:t>ITEM 19.</w:t>
              </w:r>
            </w:hyperlink>
          </w:p>
        </w:tc>
        <w:tc>
          <w:tcPr>
            <w:tcW w:w="8491" w:type="dxa"/>
            <w:tcBorders/>
            <w:shd w:fill="auto" w:val="clear"/>
            <w:vAlign w:val="center"/>
          </w:tcPr>
          <w:p>
            <w:pPr>
              <w:pStyle w:val="TableContents"/>
              <w:spacing w:before="0" w:after="0"/>
              <w:ind w:left="0" w:right="0" w:hanging="0"/>
              <w:jc w:val="both"/>
              <w:rPr/>
            </w:pPr>
            <w:hyperlink w:anchor="ITEM19EXHIBITS_272146">
              <w:r>
                <w:rPr>
                  <w:rStyle w:val="InternetLink"/>
                  <w:rFonts w:ascii="Times New Roman;Times;serif" w:hAnsi="Times New Roman;Times;serif"/>
                  <w:b w:val="false"/>
                  <w:i w:val="false"/>
                  <w:caps w:val="false"/>
                  <w:smallCaps w:val="false"/>
                  <w:sz w:val="20"/>
                </w:rPr>
                <w:t>EXHIBITS</w:t>
              </w:r>
            </w:hyperlink>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80"/>
        <w:ind w:left="0" w:right="0" w:hanging="0"/>
        <w:rPr>
          <w:rFonts w:ascii="Times New Roman;Times;serif" w:hAnsi="Times New Roman;Times;serif"/>
          <w:b/>
          <w:sz w:val="20"/>
        </w:rPr>
      </w:pPr>
      <w:bookmarkStart w:id="19" w:name="INTRODUCTION_430778"/>
      <w:bookmarkStart w:id="20" w:name="_aa44d915_ba2d_4f05_aeaf_e01ba490d5f5"/>
      <w:bookmarkEnd w:id="19"/>
      <w:bookmarkEnd w:id="20"/>
      <w:r>
        <w:rPr>
          <w:rFonts w:ascii="Times New Roman;Times;serif" w:hAnsi="Times New Roman;Times;serif"/>
          <w:b/>
          <w:sz w:val="20"/>
        </w:rPr>
        <w:t>INTRODUCTION</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Except where the context otherwise requires and for purposes of this annual report only:</w:t>
      </w:r>
    </w:p>
    <w:tbl>
      <w:tblPr>
        <w:tblW w:w="9216" w:type="dxa"/>
        <w:jc w:val="left"/>
        <w:tblInd w:w="0" w:type="dxa"/>
        <w:tblCellMar>
          <w:top w:w="0" w:type="dxa"/>
          <w:left w:w="0" w:type="dxa"/>
          <w:bottom w:w="0" w:type="dxa"/>
          <w:right w:w="0" w:type="dxa"/>
        </w:tblCellMar>
      </w:tblPr>
      <w:tblGrid>
        <w:gridCol w:w="124"/>
        <w:gridCol w:w="181"/>
        <w:gridCol w:w="89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8911" w:type="dxa"/>
            <w:tcBorders/>
            <w:shd w:fill="auto" w:val="clear"/>
            <w:vAlign w:val="center"/>
          </w:tcPr>
          <w:p>
            <w:pPr>
              <w:pStyle w:val="TableContents"/>
              <w:spacing w:before="0" w:after="180"/>
              <w:jc w:val="both"/>
              <w:rPr/>
            </w:pPr>
            <w:r>
              <w:rPr/>
              <w:t>“</w:t>
            </w:r>
            <w:r>
              <w:rPr>
                <w:rFonts w:ascii="Times New Roman;Times;serif" w:hAnsi="Times New Roman;Times;serif"/>
                <w:sz w:val="20"/>
              </w:rPr>
              <w:t>ADR” refers to average daily room rate, which means room revenue divided by the number of rooms in use;</w:t>
            </w:r>
          </w:p>
        </w:tc>
      </w:tr>
    </w:tbl>
    <w:tbl>
      <w:tblPr>
        <w:tblW w:w="7866" w:type="dxa"/>
        <w:jc w:val="left"/>
        <w:tblInd w:w="0" w:type="dxa"/>
        <w:tblCellMar>
          <w:top w:w="0" w:type="dxa"/>
          <w:left w:w="0" w:type="dxa"/>
          <w:bottom w:w="0" w:type="dxa"/>
          <w:right w:w="0" w:type="dxa"/>
        </w:tblCellMar>
      </w:tblPr>
      <w:tblGrid>
        <w:gridCol w:w="124"/>
        <w:gridCol w:w="181"/>
        <w:gridCol w:w="75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7561" w:type="dxa"/>
            <w:tcBorders/>
            <w:shd w:fill="auto" w:val="clear"/>
            <w:vAlign w:val="center"/>
          </w:tcPr>
          <w:p>
            <w:pPr>
              <w:pStyle w:val="TableContents"/>
              <w:spacing w:before="0" w:after="180"/>
              <w:jc w:val="both"/>
              <w:rPr/>
            </w:pPr>
            <w:r>
              <w:rPr/>
              <w:t>“</w:t>
            </w:r>
            <w:r>
              <w:rPr>
                <w:rFonts w:ascii="Times New Roman;Times;serif" w:hAnsi="Times New Roman;Times;serif"/>
                <w:sz w:val="20"/>
              </w:rPr>
              <w:t>ADSs” refers to the American depositary shares, each representing Class A ordinary shares;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Atour,” “we,” “us,” “our,” “ours,” “our company,” and the “Company,” refer to Atour Lifestyle Holdings Limited, a Cayman Islands company and its subsidiaries;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China” or “PRC” refers to the People’s Republic of China; and only when in this annual report refers to specific laws and regulations adopted by the PRC, excludes Hong Kong, Macau and Taiwan;</w:t>
            </w:r>
          </w:p>
        </w:tc>
      </w:tr>
    </w:tbl>
    <w:tbl>
      <w:tblPr>
        <w:tblW w:w="8811" w:type="dxa"/>
        <w:jc w:val="left"/>
        <w:tblInd w:w="0" w:type="dxa"/>
        <w:tblCellMar>
          <w:top w:w="0" w:type="dxa"/>
          <w:left w:w="0" w:type="dxa"/>
          <w:bottom w:w="0" w:type="dxa"/>
          <w:right w:w="0" w:type="dxa"/>
        </w:tblCellMar>
      </w:tblPr>
      <w:tblGrid>
        <w:gridCol w:w="124"/>
        <w:gridCol w:w="181"/>
        <w:gridCol w:w="85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8506" w:type="dxa"/>
            <w:tcBorders/>
            <w:shd w:fill="auto" w:val="clear"/>
            <w:vAlign w:val="center"/>
          </w:tcPr>
          <w:p>
            <w:pPr>
              <w:pStyle w:val="TableContents"/>
              <w:spacing w:before="0" w:after="180"/>
              <w:jc w:val="both"/>
              <w:rPr/>
            </w:pPr>
            <w:r>
              <w:rPr/>
              <w:t>“</w:t>
            </w:r>
            <w:r>
              <w:rPr>
                <w:rFonts w:ascii="Times New Roman;Times;serif" w:hAnsi="Times New Roman;Times;serif"/>
                <w:sz w:val="20"/>
              </w:rPr>
              <w:t>Class A ordinary shares” refers to our Class A ordinary shares with a par value of US$0.0001 per share;</w:t>
            </w:r>
          </w:p>
        </w:tc>
      </w:tr>
    </w:tbl>
    <w:tbl>
      <w:tblPr>
        <w:tblW w:w="8811" w:type="dxa"/>
        <w:jc w:val="left"/>
        <w:tblInd w:w="0" w:type="dxa"/>
        <w:tblCellMar>
          <w:top w:w="0" w:type="dxa"/>
          <w:left w:w="0" w:type="dxa"/>
          <w:bottom w:w="0" w:type="dxa"/>
          <w:right w:w="0" w:type="dxa"/>
        </w:tblCellMar>
      </w:tblPr>
      <w:tblGrid>
        <w:gridCol w:w="124"/>
        <w:gridCol w:w="181"/>
        <w:gridCol w:w="85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8506" w:type="dxa"/>
            <w:tcBorders/>
            <w:shd w:fill="auto" w:val="clear"/>
            <w:vAlign w:val="center"/>
          </w:tcPr>
          <w:p>
            <w:pPr>
              <w:pStyle w:val="TableContents"/>
              <w:spacing w:before="0" w:after="180"/>
              <w:jc w:val="both"/>
              <w:rPr/>
            </w:pPr>
            <w:r>
              <w:rPr/>
              <w:t>“</w:t>
            </w:r>
            <w:r>
              <w:rPr>
                <w:rFonts w:ascii="Times New Roman;Times;serif" w:hAnsi="Times New Roman;Times;serif"/>
                <w:sz w:val="20"/>
              </w:rPr>
              <w:t>Class B ordinary shares” refers to our Class B ordinary shares with a par value of US$0.0001 per share;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GMV” refers to gross merchandise value, which is the total value of confirmed orders placed by our end customers with us or our franchisees, as the case may be, and sold as part of our retail business, regardless of whether the products are delivered or returned, calculated based on the prices of the ordered products net of any discounts offered to our end customers;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leased hotels” refers to leased-and-operated hotels, which, for the avoidance of doubt, include three hotels that are exclusively operated by us on properties leased by certain designated third parties;</w:t>
            </w:r>
          </w:p>
        </w:tc>
      </w:tr>
    </w:tbl>
    <w:tbl>
      <w:tblPr>
        <w:tblW w:w="5481" w:type="dxa"/>
        <w:jc w:val="left"/>
        <w:tblInd w:w="0" w:type="dxa"/>
        <w:tblCellMar>
          <w:top w:w="0" w:type="dxa"/>
          <w:left w:w="0" w:type="dxa"/>
          <w:bottom w:w="0" w:type="dxa"/>
          <w:right w:w="0" w:type="dxa"/>
        </w:tblCellMar>
      </w:tblPr>
      <w:tblGrid>
        <w:gridCol w:w="124"/>
        <w:gridCol w:w="181"/>
        <w:gridCol w:w="51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5176" w:type="dxa"/>
            <w:tcBorders/>
            <w:shd w:fill="auto" w:val="clear"/>
            <w:vAlign w:val="center"/>
          </w:tcPr>
          <w:p>
            <w:pPr>
              <w:pStyle w:val="TableContents"/>
              <w:spacing w:before="0" w:after="180"/>
              <w:jc w:val="both"/>
              <w:rPr/>
            </w:pPr>
            <w:r>
              <w:rPr/>
              <w:t>“</w:t>
            </w:r>
            <w:r>
              <w:rPr>
                <w:rFonts w:ascii="Times New Roman;Times;serif" w:hAnsi="Times New Roman;Times;serif"/>
                <w:sz w:val="20"/>
              </w:rPr>
              <w:t>manachised hotels” refers to franchised-and-managed hotels;</w:t>
            </w:r>
          </w:p>
        </w:tc>
      </w:tr>
    </w:tbl>
    <w:tbl>
      <w:tblPr>
        <w:tblW w:w="9786" w:type="dxa"/>
        <w:jc w:val="left"/>
        <w:tblInd w:w="0" w:type="dxa"/>
        <w:tblCellMar>
          <w:top w:w="0" w:type="dxa"/>
          <w:left w:w="0" w:type="dxa"/>
          <w:bottom w:w="0" w:type="dxa"/>
          <w:right w:w="0" w:type="dxa"/>
        </w:tblCellMar>
      </w:tblPr>
      <w:tblGrid>
        <w:gridCol w:w="124"/>
        <w:gridCol w:w="181"/>
        <w:gridCol w:w="94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481" w:type="dxa"/>
            <w:tcBorders/>
            <w:shd w:fill="auto" w:val="clear"/>
            <w:vAlign w:val="center"/>
          </w:tcPr>
          <w:p>
            <w:pPr>
              <w:pStyle w:val="TableContents"/>
              <w:spacing w:before="0" w:after="180"/>
              <w:jc w:val="both"/>
              <w:rPr/>
            </w:pPr>
            <w:r>
              <w:rPr/>
              <w:t>“</w:t>
            </w:r>
            <w:r>
              <w:rPr>
                <w:rFonts w:ascii="Times New Roman;Times;serif" w:hAnsi="Times New Roman;Times;serif"/>
                <w:sz w:val="20"/>
              </w:rPr>
              <w:t>occupancy rate” refers to the number of rooms in use divided by the number of available rooms for a given period;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RevPAR” refers to revenue per available room, which is calculated by total revenues during a period divided by the number of available rooms of our hotels during the same period;</w:t>
            </w:r>
          </w:p>
        </w:tc>
      </w:tr>
    </w:tbl>
    <w:tbl>
      <w:tblPr>
        <w:tblW w:w="7161" w:type="dxa"/>
        <w:jc w:val="left"/>
        <w:tblInd w:w="0" w:type="dxa"/>
        <w:tblCellMar>
          <w:top w:w="0" w:type="dxa"/>
          <w:left w:w="0" w:type="dxa"/>
          <w:bottom w:w="0" w:type="dxa"/>
          <w:right w:w="0" w:type="dxa"/>
        </w:tblCellMar>
      </w:tblPr>
      <w:tblGrid>
        <w:gridCol w:w="124"/>
        <w:gridCol w:w="181"/>
        <w:gridCol w:w="68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6856" w:type="dxa"/>
            <w:tcBorders/>
            <w:shd w:fill="auto" w:val="clear"/>
            <w:vAlign w:val="center"/>
          </w:tcPr>
          <w:p>
            <w:pPr>
              <w:pStyle w:val="TableContents"/>
              <w:spacing w:before="0" w:after="180"/>
              <w:jc w:val="both"/>
              <w:rPr/>
            </w:pPr>
            <w:r>
              <w:rPr/>
              <w:t>“</w:t>
            </w:r>
            <w:r>
              <w:rPr>
                <w:rFonts w:ascii="Times New Roman;Times;serif" w:hAnsi="Times New Roman;Times;serif"/>
                <w:sz w:val="20"/>
              </w:rPr>
              <w:t>ordinary shares” refers to our Class A ordinary shares and Class B ordinary shares;</w:t>
            </w:r>
          </w:p>
        </w:tc>
      </w:tr>
    </w:tbl>
    <w:tbl>
      <w:tblPr>
        <w:tblW w:w="7386" w:type="dxa"/>
        <w:jc w:val="left"/>
        <w:tblInd w:w="0" w:type="dxa"/>
        <w:tblCellMar>
          <w:top w:w="0" w:type="dxa"/>
          <w:left w:w="0" w:type="dxa"/>
          <w:bottom w:w="0" w:type="dxa"/>
          <w:right w:w="0" w:type="dxa"/>
        </w:tblCellMar>
      </w:tblPr>
      <w:tblGrid>
        <w:gridCol w:w="124"/>
        <w:gridCol w:w="181"/>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7081" w:type="dxa"/>
            <w:tcBorders/>
            <w:shd w:fill="auto" w:val="clear"/>
            <w:vAlign w:val="center"/>
          </w:tcPr>
          <w:p>
            <w:pPr>
              <w:pStyle w:val="TableContents"/>
              <w:spacing w:before="0" w:after="180"/>
              <w:jc w:val="both"/>
              <w:rPr/>
            </w:pPr>
            <w:r>
              <w:rPr/>
              <w:t>“</w:t>
            </w:r>
            <w:r>
              <w:rPr>
                <w:rFonts w:ascii="Times New Roman;Times;serif" w:hAnsi="Times New Roman;Times;serif"/>
                <w:sz w:val="20"/>
              </w:rPr>
              <w:t>RMB” or “Renminbi” refers to the legal currency of the People’s Republic of China;</w:t>
            </w:r>
          </w:p>
        </w:tc>
      </w:tr>
    </w:tbl>
    <w:tbl>
      <w:tblPr>
        <w:tblW w:w="5691" w:type="dxa"/>
        <w:jc w:val="left"/>
        <w:tblInd w:w="0" w:type="dxa"/>
        <w:tblCellMar>
          <w:top w:w="0" w:type="dxa"/>
          <w:left w:w="0" w:type="dxa"/>
          <w:bottom w:w="0" w:type="dxa"/>
          <w:right w:w="0" w:type="dxa"/>
        </w:tblCellMar>
      </w:tblPr>
      <w:tblGrid>
        <w:gridCol w:w="124"/>
        <w:gridCol w:w="181"/>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5386" w:type="dxa"/>
            <w:tcBorders/>
            <w:shd w:fill="auto" w:val="clear"/>
            <w:vAlign w:val="center"/>
          </w:tcPr>
          <w:p>
            <w:pPr>
              <w:pStyle w:val="TableContents"/>
              <w:spacing w:before="0" w:after="180"/>
              <w:jc w:val="both"/>
              <w:rPr/>
            </w:pPr>
            <w:r>
              <w:rPr/>
              <w:t>“</w:t>
            </w:r>
            <w:r>
              <w:rPr>
                <w:rFonts w:ascii="Times New Roman;Times;serif" w:hAnsi="Times New Roman;Times;serif"/>
                <w:sz w:val="20"/>
              </w:rPr>
              <w:t>SKU” refers to stock-keeping unit offered in our retail business;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Tier 1 cities” refers to, based on China Business Network’s rankings of 2020, the four Chinese cities of Beijing, Shanghai, Guangzhou and Shenzhen;</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New Tier 1 cities” refers to, based on China Business Network’s rankings of 2020, the 15 Chinese cities of Chongqing, Suzhou, Chengdu, Hangzhou, Wuhan, Nanjing, Tianjin, Qingdao, Changsha, Zhengzhou, Foshan, Hefei, Xi’an, Dongguan and Shenyang;</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pPr>
            <w:r>
              <w:rPr/>
              <w:t>“</w:t>
            </w:r>
            <w:r>
              <w:rPr>
                <w:rFonts w:ascii="Times New Roman;Times;serif" w:hAnsi="Times New Roman;Times;serif"/>
                <w:sz w:val="20"/>
              </w:rPr>
              <w:t>Tier 2 cities” refers to, based on China Business Network’s rankings of 2020, the 30 Chinese cities of Nanning, Ningbo, Wuxi, Quanzhou, Jinan, Nantong, Fuzhou, Yantai, Changzhou, Xuzhou, Dalian, Wenzhou, Kunming, Changchun, Xiamen, Shaoxing, Shijiazhuang, Langfang, Nanchang, Jiaxing, Taizhou, Harbin, Jinhua, Guiyang, Huizhou, Taiyuan, Zhuhai, Baoding, Zhongshan and Lanzhou;</w:t>
            </w:r>
          </w:p>
        </w:tc>
      </w:tr>
    </w:tbl>
    <w:tbl>
      <w:tblPr>
        <w:tblW w:w="7416" w:type="dxa"/>
        <w:jc w:val="left"/>
        <w:tblInd w:w="0" w:type="dxa"/>
        <w:tblCellMar>
          <w:top w:w="0" w:type="dxa"/>
          <w:left w:w="0" w:type="dxa"/>
          <w:bottom w:w="0" w:type="dxa"/>
          <w:right w:w="0" w:type="dxa"/>
        </w:tblCellMar>
      </w:tblPr>
      <w:tblGrid>
        <w:gridCol w:w="124"/>
        <w:gridCol w:w="181"/>
        <w:gridCol w:w="71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7111" w:type="dxa"/>
            <w:tcBorders/>
            <w:shd w:fill="auto" w:val="clear"/>
            <w:vAlign w:val="center"/>
          </w:tcPr>
          <w:p>
            <w:pPr>
              <w:pStyle w:val="TableContents"/>
              <w:spacing w:before="0" w:after="180"/>
              <w:jc w:val="both"/>
              <w:rPr/>
            </w:pPr>
            <w:r>
              <w:rPr/>
              <w:t>“</w:t>
            </w:r>
            <w:r>
              <w:rPr>
                <w:rFonts w:ascii="Times New Roman;Times;serif" w:hAnsi="Times New Roman;Times;serif"/>
                <w:sz w:val="20"/>
              </w:rPr>
              <w:t>US$,” “dollars” or “U.S. dollars” refers to the legal currency of the United States; and</w:t>
            </w:r>
          </w:p>
        </w:tc>
      </w:tr>
    </w:tbl>
    <w:tbl>
      <w:tblPr>
        <w:tblW w:w="8526" w:type="dxa"/>
        <w:jc w:val="left"/>
        <w:tblInd w:w="0" w:type="dxa"/>
        <w:tblCellMar>
          <w:top w:w="0" w:type="dxa"/>
          <w:left w:w="0" w:type="dxa"/>
          <w:bottom w:w="0" w:type="dxa"/>
          <w:right w:w="0" w:type="dxa"/>
        </w:tblCellMar>
      </w:tblPr>
      <w:tblGrid>
        <w:gridCol w:w="124"/>
        <w:gridCol w:w="181"/>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221" w:type="dxa"/>
            <w:tcBorders/>
            <w:shd w:fill="auto" w:val="clear"/>
            <w:vAlign w:val="center"/>
          </w:tcPr>
          <w:p>
            <w:pPr>
              <w:pStyle w:val="TableContents"/>
              <w:spacing w:before="0" w:after="200"/>
              <w:jc w:val="both"/>
              <w:rPr/>
            </w:pPr>
            <w:r>
              <w:rPr/>
              <w:t>“</w:t>
            </w:r>
            <w:r>
              <w:rPr>
                <w:rFonts w:ascii="Times New Roman;Times;serif" w:hAnsi="Times New Roman;Times;serif"/>
                <w:sz w:val="20"/>
              </w:rPr>
              <w:t>U.S. GAAP” refers to the accounting principles generally accepted in the United States of America.</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Unless otherwise noted, all translations from Renminbi to U.S. dollars and from U.S. dollars to Renminbi in this annual report are made at RMB6.8972 to US$1, the exchange rate set forth in the H.10 statistical release of the Federal Reserve Board on December 30, 2022. We make no representation that any Renminbi or U.S. dollar amounts could have been, or could be, converted into U.S. dollars or Renminbi, as the case may be, at any particular rate, or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21" w:name="FORWARDLOOKINGINFORMATION_503423"/>
      <w:bookmarkStart w:id="22" w:name="_ef4f9fba_2520_4829_83af_2fae3db5a56f"/>
      <w:bookmarkEnd w:id="21"/>
      <w:bookmarkEnd w:id="22"/>
      <w:r>
        <w:rPr>
          <w:rFonts w:ascii="Times New Roman;Times;serif" w:hAnsi="Times New Roman;Times;serif"/>
          <w:b/>
          <w:sz w:val="20"/>
        </w:rPr>
        <w:t>FORWARD-LOOKING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tbl>
      <w:tblPr>
        <w:tblW w:w="7716" w:type="dxa"/>
        <w:jc w:val="left"/>
        <w:tblInd w:w="0" w:type="dxa"/>
        <w:tblCellMar>
          <w:top w:w="0" w:type="dxa"/>
          <w:left w:w="0" w:type="dxa"/>
          <w:bottom w:w="0" w:type="dxa"/>
          <w:right w:w="0" w:type="dxa"/>
        </w:tblCellMar>
      </w:tblPr>
      <w:tblGrid>
        <w:gridCol w:w="124"/>
        <w:gridCol w:w="181"/>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41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general economic, political, demographic and business conditions in China and globally;</w:t>
            </w:r>
          </w:p>
        </w:tc>
      </w:tr>
    </w:tbl>
    <w:tbl>
      <w:tblPr>
        <w:tblW w:w="5871" w:type="dxa"/>
        <w:jc w:val="left"/>
        <w:tblInd w:w="0" w:type="dxa"/>
        <w:tblCellMar>
          <w:top w:w="0" w:type="dxa"/>
          <w:left w:w="0" w:type="dxa"/>
          <w:bottom w:w="0" w:type="dxa"/>
          <w:right w:w="0" w:type="dxa"/>
        </w:tblCellMar>
      </w:tblPr>
      <w:tblGrid>
        <w:gridCol w:w="124"/>
        <w:gridCol w:w="181"/>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5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fluctuations in inflation and exchange rates in China and globally;</w:t>
            </w:r>
          </w:p>
        </w:tc>
      </w:tr>
    </w:tbl>
    <w:tbl>
      <w:tblPr>
        <w:tblW w:w="4116" w:type="dxa"/>
        <w:jc w:val="left"/>
        <w:tblInd w:w="0" w:type="dxa"/>
        <w:tblCellMar>
          <w:top w:w="0" w:type="dxa"/>
          <w:left w:w="0" w:type="dxa"/>
          <w:bottom w:w="0" w:type="dxa"/>
          <w:right w:w="0" w:type="dxa"/>
        </w:tblCellMar>
      </w:tblPr>
      <w:tblGrid>
        <w:gridCol w:w="124"/>
        <w:gridCol w:w="181"/>
        <w:gridCol w:w="38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81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ability to implement our growth strategy;</w:t>
            </w:r>
          </w:p>
        </w:tc>
      </w:tr>
    </w:tbl>
    <w:tbl>
      <w:tblPr>
        <w:tblW w:w="5451" w:type="dxa"/>
        <w:jc w:val="left"/>
        <w:tblInd w:w="0" w:type="dxa"/>
        <w:tblCellMar>
          <w:top w:w="0" w:type="dxa"/>
          <w:left w:w="0" w:type="dxa"/>
          <w:bottom w:w="0" w:type="dxa"/>
          <w:right w:w="0" w:type="dxa"/>
        </w:tblCellMar>
      </w:tblPr>
      <w:tblGrid>
        <w:gridCol w:w="124"/>
        <w:gridCol w:w="181"/>
        <w:gridCol w:w="51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1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ability to compete and conduct our business in the future;</w:t>
            </w:r>
          </w:p>
        </w:tc>
      </w:tr>
    </w:tbl>
    <w:tbl>
      <w:tblPr>
        <w:tblW w:w="6801" w:type="dxa"/>
        <w:jc w:val="left"/>
        <w:tblInd w:w="0" w:type="dxa"/>
        <w:tblCellMar>
          <w:top w:w="0" w:type="dxa"/>
          <w:left w:w="0" w:type="dxa"/>
          <w:bottom w:w="0" w:type="dxa"/>
          <w:right w:w="0" w:type="dxa"/>
        </w:tblCellMar>
      </w:tblPr>
      <w:tblGrid>
        <w:gridCol w:w="124"/>
        <w:gridCol w:w="181"/>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4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availability of qualified personnel and the ability to retain such personnel;</w:t>
            </w:r>
          </w:p>
        </w:tc>
      </w:tr>
    </w:tbl>
    <w:tbl>
      <w:tblPr>
        <w:tblW w:w="6456" w:type="dxa"/>
        <w:jc w:val="left"/>
        <w:tblInd w:w="0" w:type="dxa"/>
        <w:tblCellMar>
          <w:top w:w="0" w:type="dxa"/>
          <w:left w:w="0" w:type="dxa"/>
          <w:bottom w:w="0" w:type="dxa"/>
          <w:right w:w="0" w:type="dxa"/>
        </w:tblCellMar>
      </w:tblPr>
      <w:tblGrid>
        <w:gridCol w:w="124"/>
        <w:gridCol w:w="181"/>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1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expected growth and competition in the hospitality industry in China;</w:t>
            </w:r>
          </w:p>
        </w:tc>
      </w:tr>
    </w:tbl>
    <w:tbl>
      <w:tblPr>
        <w:tblW w:w="4326" w:type="dxa"/>
        <w:jc w:val="left"/>
        <w:tblInd w:w="0" w:type="dxa"/>
        <w:tblCellMar>
          <w:top w:w="0" w:type="dxa"/>
          <w:left w:w="0" w:type="dxa"/>
          <w:bottom w:w="0" w:type="dxa"/>
          <w:right w:w="0" w:type="dxa"/>
        </w:tblCellMar>
      </w:tblPr>
      <w:tblGrid>
        <w:gridCol w:w="124"/>
        <w:gridCol w:w="181"/>
        <w:gridCol w:w="40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0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changes in government policies and regulation;</w:t>
            </w:r>
          </w:p>
        </w:tc>
      </w:tr>
    </w:tbl>
    <w:tbl>
      <w:tblPr>
        <w:tblW w:w="7866" w:type="dxa"/>
        <w:jc w:val="left"/>
        <w:tblInd w:w="0" w:type="dxa"/>
        <w:tblCellMar>
          <w:top w:w="0" w:type="dxa"/>
          <w:left w:w="0" w:type="dxa"/>
          <w:bottom w:w="0" w:type="dxa"/>
          <w:right w:w="0" w:type="dxa"/>
        </w:tblCellMar>
      </w:tblPr>
      <w:tblGrid>
        <w:gridCol w:w="124"/>
        <w:gridCol w:w="181"/>
        <w:gridCol w:w="75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5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other factors that may affect our financial condition, liquidity and results of operations; and</w:t>
            </w:r>
          </w:p>
        </w:tc>
      </w:tr>
    </w:tbl>
    <w:tbl>
      <w:tblPr>
        <w:tblW w:w="6921" w:type="dxa"/>
        <w:jc w:val="left"/>
        <w:tblInd w:w="0" w:type="dxa"/>
        <w:tblCellMar>
          <w:top w:w="0" w:type="dxa"/>
          <w:left w:w="0" w:type="dxa"/>
          <w:bottom w:w="0" w:type="dxa"/>
          <w:right w:w="0" w:type="dxa"/>
        </w:tblCellMar>
      </w:tblPr>
      <w:tblGrid>
        <w:gridCol w:w="124"/>
        <w:gridCol w:w="181"/>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6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other risk factors discussed under “Item 3. Key Information—3.D. Risk Factors.”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spacing w:before="0" w:after="200"/>
        <w:ind w:left="0" w:right="0" w:firstLine="36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23" w:name="PARTI_291057"/>
      <w:bookmarkStart w:id="24" w:name="_0fc87559_f92e_4719_b225_cd47dbe31a79"/>
      <w:bookmarkEnd w:id="23"/>
      <w:bookmarkEnd w:id="24"/>
      <w:r>
        <w:rPr>
          <w:rFonts w:ascii="Times New Roman;Times;serif" w:hAnsi="Times New Roman;Times;serif"/>
          <w:b/>
          <w:sz w:val="20"/>
        </w:rPr>
        <w:t>PART I</w:t>
      </w:r>
    </w:p>
    <w:p>
      <w:pPr>
        <w:pStyle w:val="TextBody"/>
        <w:spacing w:before="0" w:after="240"/>
        <w:ind w:left="0" w:right="0" w:hanging="0"/>
        <w:jc w:val="left"/>
        <w:rPr>
          <w:rFonts w:ascii="Times New Roman;Times;serif" w:hAnsi="Times New Roman;Times;serif"/>
          <w:sz w:val="20"/>
        </w:rPr>
      </w:pPr>
      <w:bookmarkStart w:id="25" w:name="ITEM1IDENTITYOFDIRECTORSSENIORMANAGEMENT"/>
      <w:bookmarkEnd w:id="25"/>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left"/>
        <w:rPr>
          <w:rFonts w:ascii="Times New Roman;Times;serif" w:hAnsi="Times New Roman;Times;serif"/>
          <w:sz w:val="20"/>
        </w:rPr>
      </w:pPr>
      <w:bookmarkStart w:id="26" w:name="ITEM2OFFERSTATISTICSANDEXPECTEDTIMETABLE"/>
      <w:bookmarkStart w:id="27" w:name="_d85421b4_87a5_407d_accd_88ea92455b33"/>
      <w:bookmarkEnd w:id="26"/>
      <w:bookmarkEnd w:id="27"/>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left"/>
        <w:rPr>
          <w:rFonts w:ascii="Times New Roman;Times;serif" w:hAnsi="Times New Roman;Times;serif"/>
          <w:sz w:val="20"/>
        </w:rPr>
      </w:pPr>
      <w:bookmarkStart w:id="28" w:name="ITEM3KEYINFORMATION_947184"/>
      <w:bookmarkStart w:id="29" w:name="_17919ae7_1799_451c_9d93_87e3d2fa978a"/>
      <w:bookmarkEnd w:id="28"/>
      <w:bookmarkEnd w:id="29"/>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Holding Company 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with no business operations of our own. We conduct all of our operations through our subsidiaries in China, in particular, Shanghai Atour Business Management Group Co., Ltd., or Atour Shanghai, and its subsidiaries, and a substantial portion of our assets are located in China. The following chart illustrates our corporate structure, including our significant subsidiaries as that term is defined under Section 1-02 of Regulation S-X under the Securities Act and certain other subsidiaries, as of the date of this annual report.</w:t>
      </w:r>
    </w:p>
    <w:p>
      <w:pPr>
        <w:pStyle w:val="TextBody"/>
        <w:spacing w:before="0" w:after="200"/>
        <w:ind w:left="0" w:right="0" w:hanging="0"/>
        <w:jc w:val="center"/>
        <w:rPr/>
      </w:pPr>
      <w:r>
        <w:rPr/>
        <w:drawing>
          <wp:inline distT="0" distB="0" distL="0" distR="0">
            <wp:extent cx="5473065" cy="339979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473065" cy="3399790"/>
                    </a:xfrm>
                    <a:prstGeom prst="rect">
                      <a:avLst/>
                    </a:prstGeom>
                  </pic:spPr>
                </pic:pic>
              </a:graphicData>
            </a:graphic>
          </wp:inline>
        </w:drawing>
      </w:r>
    </w:p>
    <w:p>
      <w:pPr>
        <w:pStyle w:val="TextBody"/>
        <w:pBdr/>
        <w:spacing w:before="0" w:after="160"/>
        <w:ind w:left="0" w:right="0" w:hanging="360"/>
        <w:jc w:val="both"/>
        <w:rPr>
          <w:rFonts w:ascii="Times New Roman;Times;serif" w:hAnsi="Times New Roman;Times;serif"/>
          <w:sz w:val="18"/>
        </w:rPr>
      </w:pPr>
      <w:r>
        <w:rPr>
          <w:rFonts w:ascii="Times New Roman;Times;serif" w:hAnsi="Times New Roman;Times;serif"/>
          <w:sz w:val="18"/>
        </w:rPr>
        <w:t>Note:</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40"/>
              <w:jc w:val="both"/>
              <w:rPr>
                <w:rFonts w:ascii="Times New Roman;Times;serif" w:hAnsi="Times New Roman;Times;serif"/>
                <w:sz w:val="18"/>
              </w:rPr>
            </w:pPr>
            <w:r>
              <w:rPr>
                <w:rFonts w:ascii="Times New Roman;Times;serif" w:hAnsi="Times New Roman;Times;serif"/>
                <w:sz w:val="18"/>
              </w:rPr>
              <w:t>(1)</w:t>
            </w:r>
          </w:p>
        </w:tc>
        <w:tc>
          <w:tcPr>
            <w:tcW w:w="9922" w:type="dxa"/>
            <w:tcBorders/>
            <w:shd w:fill="auto" w:val="clear"/>
            <w:vAlign w:val="center"/>
          </w:tcPr>
          <w:p>
            <w:pPr>
              <w:pStyle w:val="TableContents"/>
              <w:spacing w:before="0" w:after="240"/>
              <w:jc w:val="both"/>
              <w:rPr>
                <w:rFonts w:ascii="Times New Roman;Times;serif" w:hAnsi="Times New Roman;Times;serif"/>
                <w:sz w:val="18"/>
              </w:rPr>
            </w:pPr>
            <w:r>
              <w:rPr>
                <w:rFonts w:ascii="Times New Roman;Times;serif" w:hAnsi="Times New Roman;Times;serif"/>
                <w:sz w:val="18"/>
              </w:rPr>
              <w:t>As of March 30, 2023, (i) Mr. Haijun Wang, our founder, Chairman of Board of Directors and Chief Executive Officer, beneficially own 30.0% of our total issued and outstanding ordinary shares and 73.9% of aggregate voting power; and (ii) the other shareholders, in aggregate, beneficially own 70.0% of our total issued and outstanding ordinary shares and 26.1% of the aggregate voting power. For details regarding the voting arrangement between Mr. Wang Haijun and certain minority shareholders, see “Item 7. Major Shareholders and Related Party Transactions—7.A. Major Shareholders”.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pay dividends and to service any debt we may incur overseas largely depends upon dividends paid by our subsidiaries. If our subsidiaries incur debt on their own behalf in the future, the instruments governing their debt may restrict their ability to pay dividends to us. Our subsidiaries in China are permitted to pay dividends to us only out of their retained earnings, if any, as determined in accordance with the Accounting Standards for Business Enterprise as promulgated by the Ministry of Finance of the PRC, or the PRC GAAP. The aggregate retained earnings for our PRC subsidiaries as determined under the Accounting Standards for Business Enterprise were RMB387.4 million and RMB411.2 million (US$59.6 million) as of December 31, 2021 and 2022. Pursuant to the laws and regulations applicable to China’s foreign investment enterprises, our subsidiaries that are foreign investment enterprises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subsidiaries’ discretion. Our PRC subsidiaries did not make any contribution to the enterprise expansion fund or the staff and bonus welfare fund during the years ended December 31, 2021 and 2022. The restricted amounts of our PRC subsidiaries totaled RMB74.6 million and RMB83.9 million (US$12.2 million) as of December 31, 2021 and 2022, respectively. See “Item 4.Information on The Company—4.B. Business Overview—Regulation—Regulations on Dividend Distribution” for a detailed discussion of the PRC legal restrictions on dividends and our ability to transfer cash within our group. In addition, ADS holders may potentially be subject to PRC taxes on dividends paid by us in the event Atour Lifestyle Holdings Limited is deemed as a PRC resident enterprise for PRC tax purposes. See “Item 5. Operating and Financial Review and Prospects—5.A. Operating Results—Taxation—PRC” for more details.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Except in connection with our corporate restructuring prior to our initial public offering, none of our PRC subsidiaries have issued any dividends or distributions to respective holding companies, including Atour Lifestyle Holdings Limited, or any investors as of the date of this annual report. Our subsidiaries in the PRC generate and retain cash generated from operating activities and re-invest it in our business. In May 2021, our Hong Kong subsidiary, Atour Hotel (HK) Holdings Limited, distributed RMB20.6 million to certain shareholders. Historically, Atour Shanghai has also received equity financing from its shareholders to fund business operations of our PRC subsidiaries. In 2022, we did not transfer any cash proceeds to any of our PRC subsidiaries. In the future, cash proceeds raised from overseas financing activities may be transferred by us through our Hong Kong subsidiary, Atour Hotel (HK) Holdings Limited to our PRC subsidiary Atour Shanghai via capital contribution and shareholder loans, as the case may be. Atour Shanghai then will transfer funds to its subsidiaries to meet the capital needs of our business operations. For details about the applicable PRC rules that limit transfer of funds from overseas to our PRC subsidiaries, see “Item 3. Key Information—3.D. Risk Factors—Risks Related to Doing Business in China—PRC regulation of loans to and direct investment in PRC entities by offshore holding companies and governmental control of currency conversion may restrict or delay us from using the proceeds of our initial public offering to make loans or additional capital contributions to our PRC subsidiaries, which could adversely affect our liquidity and our ability to fund and expand our business” and “Item 4. Information on The Company—4.B. Business Overview—Regulation—Regulations on Offshore Financing.”</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Recent Regulatory Developments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Cybersecurity Review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28, 2021, the Cyberspace Administration of China (the “</w:t>
      </w:r>
      <w:r>
        <w:rPr>
          <w:rFonts w:ascii="Times New Roman;Times;serif" w:hAnsi="Times New Roman;Times;serif"/>
          <w:b/>
          <w:sz w:val="20"/>
        </w:rPr>
        <w:t>CAC</w:t>
      </w:r>
      <w:r>
        <w:rPr>
          <w:rFonts w:ascii="Times New Roman;Times;serif" w:hAnsi="Times New Roman;Times;serif"/>
          <w:sz w:val="20"/>
        </w:rPr>
        <w:t>”), and 12 other relevant PRC government authorities published the amended Cybersecurity Review Measures, which came into effect on February 15, 2022. The final Cybersecurity Review Measures provide that a “network platform operator” that possesses personal information of more than one million users and seeks a listing in a foreign country must apply for a cybersecurity review. Further, the relevant PRC governmental authorities may initiate a cybersecurity review against any company if they determine certain network products, services, or data processing activities of such company affect or may affect national security.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network platform operator who possesses personal information of more than one million users for purposes of the Cybersecurity Review Measures, we had applied for and completed a cybersecurity review with respect to the listing of our ADSs on the Nasdaq pursuant to the Cybersecurity Review Measures.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CSRC Filing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17, 2023, the CSRC, as approved by the State Council, released the Trial Measures for Administration of Overseas Securities Offerings and Listings by Domestic Companies and five interpretive guidelines (collectively, the “CSRC Filing Rules”), which came into effect on March 31, 2023. Under the CSRC Filing Rules, a filing-based regulatory system shall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The CSRC Filing Rules state that, any post-listing follow-on offering by an issuer in an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CSRC Filing Rules.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obtain required approval or complete other review or filing procedures, under the CSRC Filing Rules or otherwise, for any future overseas securities offering or listing,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 See “Item 3. Key Information—3.D. Risk Factors—Risks Related to Our ADSs—The approval or filing of the China Securities Regulatory Commission or other PRC regulatory agencies may be required to maintain our listing status or conduct future offshore securities offerings.”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Implication of the Holding Foreign Companies Accountable Act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Holding Foreign Companies Accountable Act (the “HFCAA”) was enacted on December 18, 2020. Under the HFCAA, trading in our securities on U.S. markets, including Nasdaq, may be prohibited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including our auditor.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do not expect to be identified as a “Commission-Identified Issuer” under the HFCAA for the fiscal year ended December 31, 2022 after we file this annual report. 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For the details of the risks associated with the enactment of the HFCAA, see “Item 3. Key Information—3.D. Risk Factors—Risks Related to Doing Business in China—Trading in our securities may be prohibited under the HFCAA if the PCAOB determines that it is unable to inspect or investigate completely our auditor, and as a result, U.S. national securities exchanges, such as Nasdaq, may determine to delist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Permissions Required from the PRC Authorities for Our Operations and Overseas Securities Offerings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required to obtain certain licenses, permits and approvals from relevant governmental authorities in China in order to operate our business. For each hotel that we operate, our subsidiary operating the hotel is required to obtain a basic business license and a special industry license issued by local public security bureau, and is required to have hotel operation included in the business scope of its business license. As of December 31, 2022, we have obtained such basic business license and special industry license in compliance with applicable PRC laws and regulations. In addition, our operating subsidiaries in China may from time to time be required to obtain other secondary licenses, permits or approvals from local governmental authorities at the operational level, such as fire prevention safety inspection, hygiene permit and environmental impact assessment approval, to the extent relevant to their respective business. For a detailed discussion of compliance with these licenses, permits or approvals required in our ordinary course of business, and the associated consequences and risks for any non-compliance, see “Item 3. Key Information—3.D. Risk Factors—Risks Related to Our Business and Industry—We are subject to various hospitality industry, health and safety, construction, fire prevention and environmental laws and regulations that may subject us to liability.”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as described above, the PRC government has recently tightened the regulation of cybersecurity, and indicated an intent to exert more oversight and control over securities offerings and other capital markets activities that are conducted overseas and foreign investment in China-based companies like us. In connection with our prior initial public offering and Nasdaq listing status, we had applied for and completed a cybersecurity review with respect to the listing of our ADSs on the Nasdaq pursuant to the Cybersecurity Review Measures. In addition, we are required to complete the filing with the CSRC for our future overseas securities offerings under the CSRC Filing Rules.  For details of related risks, see “Item 3. Key Information—3.D. Risk Factors—Risks Related to Our ADSs—The approval or filing of the China Securities Regulatory Commission or other PRC regulatory agencies may be required to maintain our listing status or conduct future offshore securities offerings.”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manage our business operations in a prudent manner where we determine whether a particular regulatory permission or approval is required based on opinions and guidance from our in-house and external legal counsel and relevant governmental authorities, as the case may be. As of the date of this annual report, we have not received any regulatory notice requesting us to obtain a permission or approval that we have concluded is not required. If we inadvertently concluded that any permission or approval was not required, we could be subject to administrative penalties as provided in relevant PRC laws and regulations, as if such permission or approval were not obtained. In addition, there remains substantial uncertainty as to what consequences would be in the event of change in laws, regulations, or interpretations, which largely depends on the specific rule-making. While we continue to keep abreast of regulatory developments in China, our business may be disrupted and our results of operations may suffer if there are new laws, regulations, policies or guidelines introduced to impose additional regulatory approvals, licenses, permits and requirements. See “Item 3. Key Information—3.D. Risk Factors—Risk Factors—Risks Related to Doing Business in China—Uncertainties regarding the enforcement of laws, and changes in laws and regulations in China could adversely affect us and limit the legal protections available to you and us.”</w:t>
      </w:r>
    </w:p>
    <w:tbl>
      <w:tblPr>
        <w:tblW w:w="1382" w:type="dxa"/>
        <w:jc w:val="left"/>
        <w:tblInd w:w="0" w:type="dxa"/>
        <w:tblCellMar>
          <w:top w:w="0" w:type="dxa"/>
          <w:left w:w="0" w:type="dxa"/>
          <w:bottom w:w="0" w:type="dxa"/>
          <w:right w:w="0" w:type="dxa"/>
        </w:tblCellMar>
      </w:tblPr>
      <w:tblGrid>
        <w:gridCol w:w="451"/>
        <w:gridCol w:w="93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3.A.</w:t>
            </w:r>
          </w:p>
        </w:tc>
        <w:tc>
          <w:tcPr>
            <w:tcW w:w="93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Reserved</w:t>
            </w:r>
          </w:p>
        </w:tc>
      </w:tr>
    </w:tbl>
    <w:tbl>
      <w:tblPr>
        <w:tblW w:w="3302" w:type="dxa"/>
        <w:jc w:val="left"/>
        <w:tblInd w:w="0" w:type="dxa"/>
        <w:tblCellMar>
          <w:top w:w="0" w:type="dxa"/>
          <w:left w:w="0" w:type="dxa"/>
          <w:bottom w:w="0" w:type="dxa"/>
          <w:right w:w="0" w:type="dxa"/>
        </w:tblCellMar>
      </w:tblPr>
      <w:tblGrid>
        <w:gridCol w:w="451"/>
        <w:gridCol w:w="285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3.B.</w:t>
            </w:r>
          </w:p>
        </w:tc>
        <w:tc>
          <w:tcPr>
            <w:tcW w:w="28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Capitalization and Indebtedness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4037" w:type="dxa"/>
        <w:jc w:val="left"/>
        <w:tblInd w:w="0" w:type="dxa"/>
        <w:tblCellMar>
          <w:top w:w="0" w:type="dxa"/>
          <w:left w:w="0" w:type="dxa"/>
          <w:bottom w:w="0" w:type="dxa"/>
          <w:right w:w="0" w:type="dxa"/>
        </w:tblCellMar>
      </w:tblPr>
      <w:tblGrid>
        <w:gridCol w:w="451"/>
        <w:gridCol w:w="358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3.C.</w:t>
            </w:r>
          </w:p>
        </w:tc>
        <w:tc>
          <w:tcPr>
            <w:tcW w:w="358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Reason for the Offer and Use of Proceeds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tbl>
      <w:tblPr>
        <w:tblW w:w="1667" w:type="dxa"/>
        <w:jc w:val="left"/>
        <w:tblInd w:w="0" w:type="dxa"/>
        <w:tblCellMar>
          <w:top w:w="0" w:type="dxa"/>
          <w:left w:w="0" w:type="dxa"/>
          <w:bottom w:w="0" w:type="dxa"/>
          <w:right w:w="0" w:type="dxa"/>
        </w:tblCellMar>
      </w:tblPr>
      <w:tblGrid>
        <w:gridCol w:w="451"/>
        <w:gridCol w:w="121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3.D.</w:t>
            </w:r>
          </w:p>
        </w:tc>
        <w:tc>
          <w:tcPr>
            <w:tcW w:w="121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Below please find a summary of the principal risks we face, organized under relevant headings.</w:t>
      </w:r>
    </w:p>
    <w:p>
      <w:pPr>
        <w:pStyle w:val="TextBody"/>
        <w:pBdr/>
        <w:spacing w:before="0" w:after="240"/>
        <w:ind w:left="360" w:right="0" w:hanging="360"/>
        <w:jc w:val="both"/>
        <w:rPr>
          <w:rFonts w:ascii="Times New Roman;Times;serif" w:hAnsi="Times New Roman;Times;serif"/>
          <w:b/>
          <w:sz w:val="20"/>
        </w:rPr>
      </w:pPr>
      <w:r>
        <w:rPr>
          <w:rFonts w:ascii="Times New Roman;Times;serif" w:hAnsi="Times New Roman;Times;serif"/>
          <w:b/>
          <w:sz w:val="20"/>
        </w:rPr>
        <w:t>Risks Related to Our Business and Industry</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operating results are subject to conditions typically affecting the hospitality industry in China, any of which could reduce our revenues and limit opportunities for growth.</w:t>
            </w:r>
          </w:p>
        </w:tc>
      </w:tr>
    </w:tbl>
    <w:tbl>
      <w:tblPr>
        <w:tblW w:w="9021" w:type="dxa"/>
        <w:jc w:val="left"/>
        <w:tblInd w:w="0" w:type="dxa"/>
        <w:tblCellMar>
          <w:top w:w="0" w:type="dxa"/>
          <w:left w:w="0" w:type="dxa"/>
          <w:bottom w:w="0" w:type="dxa"/>
          <w:right w:w="0" w:type="dxa"/>
        </w:tblCellMar>
      </w:tblPr>
      <w:tblGrid>
        <w:gridCol w:w="124"/>
        <w:gridCol w:w="181"/>
        <w:gridCol w:w="87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7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we are unable to compete successfully, our financial condition and results of operations may be harmed.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826" w:type="dxa"/>
        <w:jc w:val="left"/>
        <w:tblInd w:w="0" w:type="dxa"/>
        <w:tblCellMar>
          <w:top w:w="0" w:type="dxa"/>
          <w:left w:w="0" w:type="dxa"/>
          <w:bottom w:w="0" w:type="dxa"/>
          <w:right w:w="0" w:type="dxa"/>
        </w:tblCellMar>
      </w:tblPr>
      <w:tblGrid>
        <w:gridCol w:w="124"/>
        <w:gridCol w:w="181"/>
        <w:gridCol w:w="85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5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may not be able to manage our expected growth, which could adversely affect our operating results.</w:t>
            </w:r>
          </w:p>
        </w:tc>
      </w:tr>
    </w:tbl>
    <w:tbl>
      <w:tblPr>
        <w:tblW w:w="7581" w:type="dxa"/>
        <w:jc w:val="left"/>
        <w:tblInd w:w="0" w:type="dxa"/>
        <w:tblCellMar>
          <w:top w:w="0" w:type="dxa"/>
          <w:left w:w="0" w:type="dxa"/>
          <w:bottom w:w="0" w:type="dxa"/>
          <w:right w:w="0" w:type="dxa"/>
        </w:tblCellMar>
      </w:tblPr>
      <w:tblGrid>
        <w:gridCol w:w="124"/>
        <w:gridCol w:w="181"/>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2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expansion within existing markets and into new markets may present increased risk.</w:t>
            </w:r>
          </w:p>
        </w:tc>
      </w:tr>
    </w:tbl>
    <w:tbl>
      <w:tblPr>
        <w:tblW w:w="7701" w:type="dxa"/>
        <w:jc w:val="left"/>
        <w:tblInd w:w="0" w:type="dxa"/>
        <w:tblCellMar>
          <w:top w:w="0" w:type="dxa"/>
          <w:left w:w="0" w:type="dxa"/>
          <w:bottom w:w="0" w:type="dxa"/>
          <w:right w:w="0" w:type="dxa"/>
        </w:tblCellMar>
      </w:tblPr>
      <w:tblGrid>
        <w:gridCol w:w="124"/>
        <w:gridCol w:w="181"/>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3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may not be able to successfully identify, secure or operate additional hotel properties.</w:t>
            </w:r>
          </w:p>
        </w:tc>
      </w:tr>
    </w:tbl>
    <w:tbl>
      <w:tblPr>
        <w:tblW w:w="8916" w:type="dxa"/>
        <w:jc w:val="left"/>
        <w:tblInd w:w="0" w:type="dxa"/>
        <w:tblCellMar>
          <w:top w:w="0" w:type="dxa"/>
          <w:left w:w="0" w:type="dxa"/>
          <w:bottom w:w="0" w:type="dxa"/>
          <w:right w:w="0" w:type="dxa"/>
        </w:tblCellMar>
      </w:tblPr>
      <w:tblGrid>
        <w:gridCol w:w="124"/>
        <w:gridCol w:w="181"/>
        <w:gridCol w:w="86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61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limited operating history makes it difficult to evaluate our future prospects and results of operations.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COVID-19 pandemic has adversely affected, and may continue to adversely affect, our financial and operating performance.</w:t>
            </w:r>
          </w:p>
        </w:tc>
      </w:tr>
    </w:tbl>
    <w:tbl>
      <w:tblPr>
        <w:tblW w:w="9636" w:type="dxa"/>
        <w:jc w:val="left"/>
        <w:tblInd w:w="0" w:type="dxa"/>
        <w:tblCellMar>
          <w:top w:w="0" w:type="dxa"/>
          <w:left w:w="0" w:type="dxa"/>
          <w:bottom w:w="0" w:type="dxa"/>
          <w:right w:w="0" w:type="dxa"/>
        </w:tblCellMar>
      </w:tblPr>
      <w:tblGrid>
        <w:gridCol w:w="124"/>
        <w:gridCol w:w="181"/>
        <w:gridCol w:w="93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3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our brand reputation is harmed, it could have a material adverse effect on our business and results of operations.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may be adversely affected by any negative publicity concerning us and our business, shareholders, affiliates, directors, officers, other employees, business partners, other third parties as well as the industry in which we operate, regardless of its accuracy, that could harm our reputation and business.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may not be successful in developing and achieving expected returns from our diversified hotel brand portfolio, which could adversely affect our financial performance and condition.</w:t>
            </w:r>
          </w:p>
        </w:tc>
      </w:tr>
    </w:tbl>
    <w:tbl>
      <w:tblPr>
        <w:tblW w:w="7356" w:type="dxa"/>
        <w:jc w:val="left"/>
        <w:tblInd w:w="0" w:type="dxa"/>
        <w:tblCellMar>
          <w:top w:w="0" w:type="dxa"/>
          <w:left w:w="0" w:type="dxa"/>
          <w:bottom w:w="0" w:type="dxa"/>
          <w:right w:w="0" w:type="dxa"/>
        </w:tblCellMar>
      </w:tblPr>
      <w:tblGrid>
        <w:gridCol w:w="124"/>
        <w:gridCol w:w="181"/>
        <w:gridCol w:w="70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0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are subject to various operational risks inherent in the manachise business model.</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may not be able to successfully attract new franchisees and compete for franchise and management agreements and, as a result, we may not be able to achieve our planned growth.</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franchise and management agreements could be terminated early and we may not be able to renew our existing franchise and management agreements or renegotiate new franchise and management agreements when they expire.</w:t>
            </w:r>
          </w:p>
        </w:tc>
      </w:tr>
    </w:tbl>
    <w:tbl>
      <w:tblPr>
        <w:tblW w:w="9711" w:type="dxa"/>
        <w:jc w:val="left"/>
        <w:tblInd w:w="0" w:type="dxa"/>
        <w:tblCellMar>
          <w:top w:w="0" w:type="dxa"/>
          <w:left w:w="0" w:type="dxa"/>
          <w:bottom w:w="0" w:type="dxa"/>
          <w:right w:w="0" w:type="dxa"/>
        </w:tblCellMar>
      </w:tblPr>
      <w:tblGrid>
        <w:gridCol w:w="124"/>
        <w:gridCol w:w="181"/>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4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may be liable for improper collection, use or appropriation of personal information provided by our customers.</w:t>
            </w:r>
          </w:p>
        </w:tc>
      </w:tr>
    </w:tbl>
    <w:p>
      <w:pPr>
        <w:pStyle w:val="TextBody"/>
        <w:pBdr/>
        <w:spacing w:before="0" w:after="240"/>
        <w:ind w:left="360" w:right="0" w:hanging="360"/>
        <w:jc w:val="both"/>
        <w:rPr>
          <w:rFonts w:ascii="Times New Roman;Times;serif" w:hAnsi="Times New Roman;Times;serif"/>
          <w:b/>
          <w:sz w:val="20"/>
        </w:rPr>
      </w:pPr>
      <w:r>
        <w:rPr>
          <w:rFonts w:ascii="Times New Roman;Times;serif" w:hAnsi="Times New Roman;Times;serif"/>
          <w:b/>
          <w:sz w:val="20"/>
        </w:rPr>
        <w:t>Risks Related to Doing Business in China</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Changes in China’s economic, political or social conditions or government policies could have a material adverse effect on our business, financial condition and results of operations.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Uncertainties regarding the enforcement of laws, and changes in laws and regulations in China could adversely affect us and limit the legal protections available to you and us.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Uncertainties exist with respect to the enactment timetable, interpretation and implementation of the laws and regulations with respect to our online platform business operation.</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Trading in our securities may be prohibited under the HFCAA if the PCAOB determines that it is unable to inspect or investigate completely our auditor, and as a result, U.S. national securities exchanges, such as Nasdaq, may determine to delist our ADSs.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You may experience difficulties in effecting service of legal process, enforcing foreign judgments or bringing actions in China against us or our management based on foreign laws.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360" w:right="0" w:hanging="360"/>
        <w:jc w:val="both"/>
        <w:rPr>
          <w:rFonts w:ascii="Times New Roman;Times;serif" w:hAnsi="Times New Roman;Times;serif"/>
          <w:b/>
          <w:sz w:val="20"/>
        </w:rPr>
      </w:pPr>
      <w:r>
        <w:rPr>
          <w:rFonts w:ascii="Times New Roman;Times;serif" w:hAnsi="Times New Roman;Times;serif"/>
          <w:b/>
          <w:sz w:val="20"/>
        </w:rPr>
        <w:t>Risks Related to Our ADSs</w:t>
      </w:r>
    </w:p>
    <w:tbl>
      <w:tblPr>
        <w:tblW w:w="8976" w:type="dxa"/>
        <w:jc w:val="left"/>
        <w:tblInd w:w="0" w:type="dxa"/>
        <w:tblCellMar>
          <w:top w:w="0" w:type="dxa"/>
          <w:left w:w="0" w:type="dxa"/>
          <w:bottom w:w="0" w:type="dxa"/>
          <w:right w:w="0" w:type="dxa"/>
        </w:tblCellMar>
      </w:tblPr>
      <w:tblGrid>
        <w:gridCol w:w="124"/>
        <w:gridCol w:w="181"/>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6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trading price of the ADSs is likely to be volatile, which could result in substantial losses to investors.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securities or industry analysts do not publish research or reports about our business, or if they adversely change their recommendations regarding the ADSs, the market price for the ADSs and trading volume could decline.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dual-class voting structure will limit your ability to influence corporate matters and could discourage others from pursuing any change of control transactions that holders of our Class A ordinary shares and ADSs may view as beneficial.</w:t>
            </w:r>
          </w:p>
        </w:tc>
      </w:tr>
    </w:tbl>
    <w:tbl>
      <w:tblPr>
        <w:tblW w:w="8526" w:type="dxa"/>
        <w:jc w:val="left"/>
        <w:tblInd w:w="0" w:type="dxa"/>
        <w:tblCellMar>
          <w:top w:w="0" w:type="dxa"/>
          <w:left w:w="0" w:type="dxa"/>
          <w:bottom w:w="0" w:type="dxa"/>
          <w:right w:w="0" w:type="dxa"/>
        </w:tblCellMar>
      </w:tblPr>
      <w:tblGrid>
        <w:gridCol w:w="124"/>
        <w:gridCol w:w="181"/>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2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dual-class structure of our ordinary shares may adversely affect the trading market for the ADSs.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approval or filing of the China Securities Regulatory Commission or other PRC regulatory agencies may be required to maintain our listing status or conduct future offshore securities offerings.</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are subject to conditions typically affecting the hospitality industry in China, any of which could reduce our revenues and limit opportunities for growth.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results are subject to conditions typically affecting the hospitality industry in China, including, among others:</w:t>
      </w:r>
    </w:p>
    <w:tbl>
      <w:tblPr>
        <w:tblW w:w="5286" w:type="dxa"/>
        <w:jc w:val="left"/>
        <w:tblInd w:w="0" w:type="dxa"/>
        <w:tblCellMar>
          <w:top w:w="0" w:type="dxa"/>
          <w:left w:w="0" w:type="dxa"/>
          <w:bottom w:w="0" w:type="dxa"/>
          <w:right w:w="0" w:type="dxa"/>
        </w:tblCellMar>
      </w:tblPr>
      <w:tblGrid>
        <w:gridCol w:w="124"/>
        <w:gridCol w:w="181"/>
        <w:gridCol w:w="49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98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changes in national, regional or local economic conditions;</w:t>
            </w:r>
          </w:p>
        </w:tc>
      </w:tr>
    </w:tbl>
    <w:tbl>
      <w:tblPr>
        <w:tblW w:w="6066" w:type="dxa"/>
        <w:jc w:val="left"/>
        <w:tblInd w:w="0" w:type="dxa"/>
        <w:tblCellMar>
          <w:top w:w="0" w:type="dxa"/>
          <w:left w:w="0" w:type="dxa"/>
          <w:bottom w:w="0" w:type="dxa"/>
          <w:right w:w="0" w:type="dxa"/>
        </w:tblCellMar>
      </w:tblPr>
      <w:tblGrid>
        <w:gridCol w:w="124"/>
        <w:gridCol w:w="181"/>
        <w:gridCol w:w="57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7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contraction in the global economy or low levels of economic growth;</w:t>
            </w:r>
          </w:p>
        </w:tc>
      </w:tr>
    </w:tbl>
    <w:tbl>
      <w:tblPr>
        <w:tblW w:w="7056" w:type="dxa"/>
        <w:jc w:val="left"/>
        <w:tblInd w:w="0" w:type="dxa"/>
        <w:tblCellMar>
          <w:top w:w="0" w:type="dxa"/>
          <w:left w:w="0" w:type="dxa"/>
          <w:bottom w:w="0" w:type="dxa"/>
          <w:right w:w="0" w:type="dxa"/>
        </w:tblCellMar>
      </w:tblPr>
      <w:tblGrid>
        <w:gridCol w:w="124"/>
        <w:gridCol w:w="181"/>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7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competition from other hotels and vacation rental online marketplace companies;</w:t>
            </w:r>
          </w:p>
        </w:tc>
      </w:tr>
    </w:tbl>
    <w:tbl>
      <w:tblPr>
        <w:tblW w:w="4071" w:type="dxa"/>
        <w:jc w:val="left"/>
        <w:tblInd w:w="0" w:type="dxa"/>
        <w:tblCellMar>
          <w:top w:w="0" w:type="dxa"/>
          <w:left w:w="0" w:type="dxa"/>
          <w:bottom w:w="0" w:type="dxa"/>
          <w:right w:w="0" w:type="dxa"/>
        </w:tblCellMar>
      </w:tblPr>
      <w:tblGrid>
        <w:gridCol w:w="124"/>
        <w:gridCol w:w="181"/>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7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attractiveness of our hotels to our guests;</w:t>
            </w:r>
          </w:p>
        </w:tc>
      </w:tr>
    </w:tbl>
    <w:tbl>
      <w:tblPr>
        <w:tblW w:w="7911" w:type="dxa"/>
        <w:jc w:val="left"/>
        <w:tblInd w:w="0" w:type="dxa"/>
        <w:tblCellMar>
          <w:top w:w="0" w:type="dxa"/>
          <w:left w:w="0" w:type="dxa"/>
          <w:bottom w:w="0" w:type="dxa"/>
          <w:right w:w="0" w:type="dxa"/>
        </w:tblCellMar>
      </w:tblPr>
      <w:tblGrid>
        <w:gridCol w:w="124"/>
        <w:gridCol w:w="181"/>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6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local market conditions such as an oversupply of, or a reduction in demand for, hotel rooms;</w:t>
            </w:r>
          </w:p>
        </w:tc>
      </w:tr>
    </w:tbl>
    <w:tbl>
      <w:tblPr>
        <w:tblW w:w="8181" w:type="dxa"/>
        <w:jc w:val="left"/>
        <w:tblInd w:w="0" w:type="dxa"/>
        <w:tblCellMar>
          <w:top w:w="0" w:type="dxa"/>
          <w:left w:w="0" w:type="dxa"/>
          <w:bottom w:w="0" w:type="dxa"/>
          <w:right w:w="0" w:type="dxa"/>
        </w:tblCellMar>
      </w:tblPr>
      <w:tblGrid>
        <w:gridCol w:w="124"/>
        <w:gridCol w:w="181"/>
        <w:gridCol w:w="78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8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adverse weather conditions, natural disasters or serious contagious diseases, such as COVID-19;</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ability of third-party internet and other travel intermediaries who sell our hotel rooms to guests to attract and retain customers;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availability and cost of capital necessary for us and third-party hotel owners to fund investments, capital expenditures and service debt obligations;</w:t>
            </w:r>
          </w:p>
        </w:tc>
      </w:tr>
    </w:tbl>
    <w:tbl>
      <w:tblPr>
        <w:tblW w:w="7416" w:type="dxa"/>
        <w:jc w:val="left"/>
        <w:tblInd w:w="0" w:type="dxa"/>
        <w:tblCellMar>
          <w:top w:w="0" w:type="dxa"/>
          <w:left w:w="0" w:type="dxa"/>
          <w:bottom w:w="0" w:type="dxa"/>
          <w:right w:w="0" w:type="dxa"/>
        </w:tblCellMar>
      </w:tblPr>
      <w:tblGrid>
        <w:gridCol w:w="124"/>
        <w:gridCol w:w="181"/>
        <w:gridCol w:w="71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11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delays in or cancellations of planned or future development or refurbishment projects;</w:t>
            </w:r>
          </w:p>
        </w:tc>
      </w:tr>
    </w:tbl>
    <w:tbl>
      <w:tblPr>
        <w:tblW w:w="5211" w:type="dxa"/>
        <w:jc w:val="left"/>
        <w:tblInd w:w="0" w:type="dxa"/>
        <w:tblCellMar>
          <w:top w:w="0" w:type="dxa"/>
          <w:left w:w="0" w:type="dxa"/>
          <w:bottom w:w="0" w:type="dxa"/>
          <w:right w:w="0" w:type="dxa"/>
        </w:tblCellMar>
      </w:tblPr>
      <w:tblGrid>
        <w:gridCol w:w="124"/>
        <w:gridCol w:w="181"/>
        <w:gridCol w:w="49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9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seasonal and cyclical volatility in the hospitality industry;</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changes in desirability of geographic regions of the hotels in our business, geographic concentration of our operations and customers and shortages of desirable locations for development;</w:t>
            </w:r>
          </w:p>
        </w:tc>
      </w:tr>
    </w:tbl>
    <w:tbl>
      <w:tblPr>
        <w:tblW w:w="6111" w:type="dxa"/>
        <w:jc w:val="left"/>
        <w:tblInd w:w="0" w:type="dxa"/>
        <w:tblCellMar>
          <w:top w:w="0" w:type="dxa"/>
          <w:left w:w="0" w:type="dxa"/>
          <w:bottom w:w="0" w:type="dxa"/>
          <w:right w:w="0" w:type="dxa"/>
        </w:tblCellMar>
      </w:tblPr>
      <w:tblGrid>
        <w:gridCol w:w="124"/>
        <w:gridCol w:w="181"/>
        <w:gridCol w:w="58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80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performance of managerial and other employees of our hotels; and</w:t>
            </w:r>
          </w:p>
        </w:tc>
      </w:tr>
    </w:tbl>
    <w:tbl>
      <w:tblPr>
        <w:tblW w:w="8061" w:type="dxa"/>
        <w:jc w:val="left"/>
        <w:tblInd w:w="0" w:type="dxa"/>
        <w:tblCellMar>
          <w:top w:w="0" w:type="dxa"/>
          <w:left w:w="0" w:type="dxa"/>
          <w:bottom w:w="0" w:type="dxa"/>
          <w:right w:w="0" w:type="dxa"/>
        </w:tblCellMar>
      </w:tblPr>
      <w:tblGrid>
        <w:gridCol w:w="124"/>
        <w:gridCol w:w="181"/>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7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increases in operating costs and expenses, particularly rents, due to inflation and other factors.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any of these conditions could adversely affect our occupancy rates, ADR and RevPAR, or otherwise adversely affect our results of operations and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compete successfully, our financial condition and results of operations may be harmed.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hospitality industry in China is highly competitive. Competition for guests and customers is primarily focused on hotel room rates, quality of accommodations, brand recognition, convenience of location, geographic coverage, quality and range of services, other lifestyle offerings, and guest amenities. We mainly compete with other branded and independent hotel operating companies, national and international hotel brands and ownership companies. In addition, we may face competition from new entrants in the hospitality industry in China or increased competition from competitors who are expanding rapidly. Such competitors include vacation rental online marketplace companies. New and existing competitors may offer more competitive rates, greater convenience, superior services or amenities, or superior facilities, possibly attracting guests away from our hotels and resulting in lower occupancy rate and ADR for our hotels.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Competitors may also outbid us in the selection of sites for new leased hotel conversion, negotiate better management terms for potential manachised hotels or offer better terms to our existing manachised hotel owners, thereby slowing our anticipated pace of expansion. Furthermore, our typical guests may change their travel, spending and consumption patterns and choose to stay in other types of hotels. Any of these factors may have an adverse effect on our competitive position, results of operations and financial condition.</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manage our expected growth, which could adversely affect our operating results.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experienced substantial growth in the past. Over the past few years, we increased the number of our hotels in China to 932 as of December 31, 2022, and we intend to continue to convert, operate and manage additional hotels in markets where we have a presence and in additional cities in China. Our expansion has placed, and will continue to place, substantial demands on our managerial, financial, operational, IT, and other resources. In order to manage and support our growth, we must continue to improve our existing managerial, operational and IT systems, including our financial and management controls, and recruit, train and retain qualified hotel management and other personnel. Our planned expansion will also require us to maintain consistent and high-quality accommodations and services to ensure that our brand does not suffer as a result of any deviations, whether actual or perceived, in our quality standards. We cannot assure you that we will be able to effectively and efficiently manage the growth of our operations or maintain our quality standards. If we are unable to do so, our results of operations and financial condition may be materially and adversely affected.</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expansion within existing markets and into new markets may present increased risk.</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expansion within markets where we already have a presence may adversely affect the financial performance of our hotels in operation in those markets and, as a result, negatively affect our overall results of operations. Furthermore, expansion into new markets may present operating and marketing challenges that are different from those that we currently encounter in our existing markets. Guests and franchisees in any new market may not be familiar with our brands and we may need more time to build brand awareness in that market through greater investments in advertising and promotional activities than we anticipated. We may find it more difficult in new markets to hire, motivate and keep qualified employees who share our vision, passion and culture. Expansion into new markets may also cause certain of our non-financial key performance indicators to decline, such as our ADR, occupancy rate and RevPAR, as new markets may have lower average hotel room rates than markets in which we currently have a presence and our new hotels tend to have a lower occupancy rate than our more mature hotels. Our inability to anticipate the changing demands that expanding operations will impose on our managerial, operational, IT, and other resources, or our failure to quickly adapt our systems and procedures to the demands of new markets, could result in lost revenues and increased expenses and otherwise harm our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successfully identify, secure or operate additional hotel properties.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plan to open more hotels in markets where we have a presence and new cities in China to further grow our business. We may not be successful in identifying, leasing, managing and operating additional hotel properties at desirable locations and on commercially reasonable terms, or at all. In more developed cities, it may be difficult to increase the number of hotels because we or our competitors may already have operations in such cities, rental prices may increase, or our competitors may be able to gain leases of properties before we can do so. In some cases, our competitors may be willing to enter into less favorable lease or hotel management arrangements in order to prevent us from securing a particular property. Alternatively, in less developed cities, demand for our hotels may not increase as rapidly as we may expect. In addition, even if we are able to successfully identify and lease or manage new hotel properties, new hotels may not generate the returns we expect. Furthermore, we may incur costs in connection with evaluating properties and negotiating with property owners, lessors and manachised hotel owners, including properties that we are subsequently unable to lease or manage. If we fail to successfully identify or compete for additional hotel properties, our ability to execute our growth strategy could be impaired and our business and prospects may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limited operating history makes it difficult to evaluate our future prospects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future success depends on our ability to achieve sustainable and profitable growth. We have a limited operating history since we commenced our business operations in China in 2013. Our limited operating history and significant growth make it difficult to evaluate our historical performance or prospects. In addition, fluctuations in results could make period to period comparisons difficult. You should consider our future prospects in light of the risks and challenges encountered by a company with a limited operating history. These risks and challenges include, among others:</w:t>
      </w:r>
    </w:p>
    <w:tbl>
      <w:tblPr>
        <w:tblW w:w="8106" w:type="dxa"/>
        <w:jc w:val="left"/>
        <w:tblInd w:w="0" w:type="dxa"/>
        <w:tblCellMar>
          <w:top w:w="0" w:type="dxa"/>
          <w:left w:w="0" w:type="dxa"/>
          <w:bottom w:w="0" w:type="dxa"/>
          <w:right w:w="0" w:type="dxa"/>
        </w:tblCellMar>
      </w:tblPr>
      <w:tblGrid>
        <w:gridCol w:w="124"/>
        <w:gridCol w:w="181"/>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80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uncertainties associated with our ability to continue our growth and maintain profitability;</w:t>
            </w:r>
          </w:p>
        </w:tc>
      </w:tr>
    </w:tbl>
    <w:tbl>
      <w:tblPr>
        <w:tblW w:w="9306" w:type="dxa"/>
        <w:jc w:val="left"/>
        <w:tblInd w:w="0" w:type="dxa"/>
        <w:tblCellMar>
          <w:top w:w="0" w:type="dxa"/>
          <w:left w:w="0" w:type="dxa"/>
          <w:bottom w:w="0" w:type="dxa"/>
          <w:right w:w="0" w:type="dxa"/>
        </w:tblCellMar>
      </w:tblPr>
      <w:tblGrid>
        <w:gridCol w:w="124"/>
        <w:gridCol w:w="181"/>
        <w:gridCol w:w="90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00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preserving our competitive position in the upper midscale hotel segment of the hospitality industry in China;</w:t>
            </w:r>
          </w:p>
        </w:tc>
      </w:tr>
    </w:tbl>
    <w:tbl>
      <w:tblPr>
        <w:tblW w:w="8076" w:type="dxa"/>
        <w:jc w:val="left"/>
        <w:tblInd w:w="0" w:type="dxa"/>
        <w:tblCellMar>
          <w:top w:w="0" w:type="dxa"/>
          <w:left w:w="0" w:type="dxa"/>
          <w:bottom w:w="0" w:type="dxa"/>
          <w:right w:w="0" w:type="dxa"/>
        </w:tblCellMar>
      </w:tblPr>
      <w:tblGrid>
        <w:gridCol w:w="124"/>
        <w:gridCol w:w="181"/>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77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offering consistent and high-quality accommodations and services to retain and attract guests;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implementing our strategy and modifying it from time to time to respond effectively to competition and changes in customer preferences;</w:t>
            </w:r>
          </w:p>
        </w:tc>
      </w:tr>
    </w:tbl>
    <w:tbl>
      <w:tblPr>
        <w:tblW w:w="10026" w:type="dxa"/>
        <w:jc w:val="left"/>
        <w:tblInd w:w="0" w:type="dxa"/>
        <w:tblCellMar>
          <w:top w:w="0" w:type="dxa"/>
          <w:left w:w="0" w:type="dxa"/>
          <w:bottom w:w="0" w:type="dxa"/>
          <w:right w:w="0" w:type="dxa"/>
        </w:tblCellMar>
      </w:tblPr>
      <w:tblGrid>
        <w:gridCol w:w="124"/>
        <w:gridCol w:w="181"/>
        <w:gridCol w:w="97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72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our ability to introduce new hotel and other lifestyle offerings to achieve our goal to become a leading lifestyle brand;</w:t>
            </w:r>
          </w:p>
        </w:tc>
      </w:tr>
    </w:tbl>
    <w:tbl>
      <w:tblPr>
        <w:tblW w:w="7716" w:type="dxa"/>
        <w:jc w:val="left"/>
        <w:tblInd w:w="0" w:type="dxa"/>
        <w:tblCellMar>
          <w:top w:w="0" w:type="dxa"/>
          <w:left w:w="0" w:type="dxa"/>
          <w:bottom w:w="0" w:type="dxa"/>
          <w:right w:w="0" w:type="dxa"/>
        </w:tblCellMar>
      </w:tblPr>
      <w:tblGrid>
        <w:gridCol w:w="124"/>
        <w:gridCol w:w="181"/>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41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increasing awareness of our Atour brand and continuing to develop customer loyalty; and</w:t>
            </w:r>
          </w:p>
        </w:tc>
      </w:tr>
    </w:tbl>
    <w:tbl>
      <w:tblPr>
        <w:tblW w:w="6531" w:type="dxa"/>
        <w:jc w:val="left"/>
        <w:tblInd w:w="0" w:type="dxa"/>
        <w:tblCellMar>
          <w:top w:w="0" w:type="dxa"/>
          <w:left w:w="0" w:type="dxa"/>
          <w:bottom w:w="0" w:type="dxa"/>
          <w:right w:w="0" w:type="dxa"/>
        </w:tblCellMar>
      </w:tblPr>
      <w:tblGrid>
        <w:gridCol w:w="124"/>
        <w:gridCol w:w="181"/>
        <w:gridCol w:w="62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2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recruiting, training and retaining qualified managerial and other personnel.</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unsuccessful in addressing any of these risks or challenges, our business may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COVID-19 pandemic has adversely affected, and may continue to adversely affect, our financial and operating performance.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COVID-19 pandemic has negatively impacted the global economy. Our business experienced challenges throughout 2022 Due to the pandemic. As a result, the occupancy rate of our hotels decreased from 67.7% in 2021 to 63.0% in 2022. Similarly, the ADR of our hotels decreased from RMB415.2 in 2021 to RMB391.2 in 2022. Our RevPAR, as a result, decreased from RMB294.9 in 2021 to RMB260.7 in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Since the outbreak of COVID-19 and up to December 31, 2022, the Chinese governmental authorities had accumulatively requisitioned a total of 482 of our hotels (including approximately 7.1 million room-nights) in various locations and during different periods for the accommodation of medical support workers and for quarantine purposes. All other than ten of these hotels were manachised hotels. For most of the time throughout the COVID-19 pandemic, we did not generate any revenue relating to sales based on continuing franchise fees from our manachised hotels used for quarantine purposes as the franchisees of such hotels were not required to pay us any continuing franchise fees during the quarantine periods.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continuing COVID-19 pandemic also increased the probability that franchisees will be unable to fund working capital and to repay or refinance indebtedness, which may cause our franchisees to declare bankruptcy. Such bankruptcies may result in termination of our franchise and management agreements and eliminate our anticipated income and cash flows. Moreover, bankrupted franchisees may not have sufficient assets to pay termination fees, other unpaid fees, reimbursements or unpaid loans owed to us. The spread of COVID-19 had also adversely affected our suppliers and other business partners. If any of our suppliers and other business partners experiences financial distress, suffers business disruptions, goes out of business or files for bankruptcy due to the COVID-19 outbreak, our business, results of operations and financial condition could be materially and adversely affected. In addition, if any of our employees or customers is suspected of having contracted or has contracted COVID-19 while he or she has worked or stayed in our hotels, we may under certain circumstances be required to quarantine our employees that are affected and the affected areas of our premises.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Starting from November 2022, the PRC government has been gradually lifting its precautionary measures, and the social and economic activities in China have returned to normal levels since then. As of the date of this annual report, none of our hotels is requisitioned by governmental authorities. However, the ultimate impact of the pandemic is highly uncertain and the actual effects will depend on many factors beyond our control. As a result, we do not yet know the extent of the impacts on our business, our operations or the global economy as a whole. To the extent COVID-19 adversely affects our business, financial condition and results of operations, it may also heighten some of the other risks described in this section.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our brand reputation is harmed, it could have a material adverse effect on our business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w:t>
      </w:r>
      <w:r>
        <w:rPr>
          <w:rFonts w:ascii="Times New Roman;Times;serif" w:hAnsi="Times New Roman;Times;serif"/>
          <w:i/>
          <w:sz w:val="20"/>
        </w:rPr>
        <w:t>Atour</w:t>
      </w:r>
      <w:r>
        <w:rPr>
          <w:rFonts w:ascii="Times New Roman;Times;serif" w:hAnsi="Times New Roman;Times;serif"/>
          <w:sz w:val="20"/>
        </w:rPr>
        <w:t>” and “</w:t>
      </w:r>
      <w:r>
        <w:rPr>
          <w:rFonts w:ascii="Times New Roman;Times;serif" w:hAnsi="Times New Roman;Times;serif"/>
          <w:i/>
          <w:sz w:val="20"/>
        </w:rPr>
        <w:t>Yaduo”</w:t>
      </w:r>
      <w:r>
        <w:rPr>
          <w:rFonts w:ascii="Times New Roman;Times;serif" w:hAnsi="Times New Roman;Times;serif"/>
          <w:sz w:val="20"/>
        </w:rPr>
        <w:t xml:space="preserve"> brands are integral to our success, including the success of our sales and marketing efforts and our efforts to grow through hotel management arrangements. Our continued success in maintaining and enhancing our brand depends, to a large extent, on our ability to provide consistent and high-quality accommodations and services across our hotel chain, and design and introduce new accommodations and services to meet customer demands, as well as our ability to respond to competitive pressures. In addition, we must maintain our hotels’ good condition and attractive appearance which requires ongoing renovations and other leasehold improvements, including periodic repair and replacement of furniture, fixtures and equipment. Our future lifestyle brand offerings, if any, also depend on successful execution of our brand strategy and customer perception of us as a leading and pioneering lifestyle brand. If we are unable to maintain and enhance our brand reputation or fail to execute our brand strategy, our occupancy and room rates may decline and our new lifestyle brand offerings may not be widely accepted by customers, which would adversely affect our business and results of operations.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any negative publicity concerning us and our business, shareholders, affiliates, directors, officers, other employees, business partners, other third parties as well as the industry in which we operate, regardless of its accuracy, that could harm our reputation and business.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ability to attract and retain customers is highly dependent upon the external perceptions of our services, trustworthiness and business practices. Negative perceptions or publicity about us and our business, shareholders, affiliates, directors, officers, employees, business partners, other third parties as well as the industry in which we operate, even if related to isolated incidents, could erode trust and confidence and damage our reputation among existing and potential customers. In turn, this could decrease the demand for our products and services, increase regulatory scrutiny and detrimentally effect our business. In addition to traditional media, there has been an increasing use of social media platforms and similar devices in China, including instant messaging applications, social media websites and other forms of internet-based communications that provide individuals with access to a broad audience of consumers and other interested persons. Negative publicity concerning these parties could be related to a wide variety of matters, including, but are not limited to:</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rFonts w:ascii="Times New Roman;Times;serif" w:hAnsi="Times New Roman;Times;serif"/>
                <w:sz w:val="20"/>
              </w:rPr>
            </w:pPr>
            <w:r>
              <w:rPr>
                <w:rFonts w:ascii="Times New Roman;Times;serif" w:hAnsi="Times New Roman;Times;serif"/>
                <w:sz w:val="20"/>
              </w:rPr>
              <w:t>alleged misconduct or other improper activities committed by our directors, officers, and employees, our franchisees and their personnel, as well as our business partners;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rFonts w:ascii="Times New Roman;Times;serif" w:hAnsi="Times New Roman;Times;serif"/>
                <w:sz w:val="20"/>
              </w:rPr>
            </w:pPr>
            <w:r>
              <w:rPr>
                <w:rFonts w:ascii="Times New Roman;Times;serif" w:hAnsi="Times New Roman;Times;serif"/>
                <w:sz w:val="20"/>
              </w:rPr>
              <w:t>false or malicious allegations or rumors about us or our directors, shareholders, affiliates, officers, employees and franchisees;</w:t>
            </w:r>
          </w:p>
        </w:tc>
      </w:tr>
    </w:tbl>
    <w:tbl>
      <w:tblPr>
        <w:tblW w:w="5451" w:type="dxa"/>
        <w:jc w:val="left"/>
        <w:tblInd w:w="0" w:type="dxa"/>
        <w:tblCellMar>
          <w:top w:w="0" w:type="dxa"/>
          <w:left w:w="0" w:type="dxa"/>
          <w:bottom w:w="0" w:type="dxa"/>
          <w:right w:w="0" w:type="dxa"/>
        </w:tblCellMar>
      </w:tblPr>
      <w:tblGrid>
        <w:gridCol w:w="124"/>
        <w:gridCol w:w="181"/>
        <w:gridCol w:w="51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5146" w:type="dxa"/>
            <w:tcBorders/>
            <w:shd w:fill="auto" w:val="clear"/>
            <w:vAlign w:val="center"/>
          </w:tcPr>
          <w:p>
            <w:pPr>
              <w:pStyle w:val="TableContents"/>
              <w:spacing w:before="0" w:after="180"/>
              <w:jc w:val="both"/>
              <w:rPr>
                <w:rFonts w:ascii="Times New Roman;Times;serif" w:hAnsi="Times New Roman;Times;serif"/>
                <w:sz w:val="20"/>
              </w:rPr>
            </w:pPr>
            <w:r>
              <w:rPr>
                <w:rFonts w:ascii="Times New Roman;Times;serif" w:hAnsi="Times New Roman;Times;serif"/>
                <w:sz w:val="20"/>
              </w:rPr>
              <w:t>complaints by our customers about our products and services;</w:t>
            </w:r>
          </w:p>
        </w:tc>
      </w:tr>
    </w:tbl>
    <w:tbl>
      <w:tblPr>
        <w:tblW w:w="5061" w:type="dxa"/>
        <w:jc w:val="left"/>
        <w:tblInd w:w="0" w:type="dxa"/>
        <w:tblCellMar>
          <w:top w:w="0" w:type="dxa"/>
          <w:left w:w="0" w:type="dxa"/>
          <w:bottom w:w="0" w:type="dxa"/>
          <w:right w:w="0" w:type="dxa"/>
        </w:tblCellMar>
      </w:tblPr>
      <w:tblGrid>
        <w:gridCol w:w="124"/>
        <w:gridCol w:w="181"/>
        <w:gridCol w:w="47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4756" w:type="dxa"/>
            <w:tcBorders/>
            <w:shd w:fill="auto" w:val="clear"/>
            <w:vAlign w:val="center"/>
          </w:tcPr>
          <w:p>
            <w:pPr>
              <w:pStyle w:val="TableContents"/>
              <w:spacing w:before="0" w:after="180"/>
              <w:jc w:val="both"/>
              <w:rPr>
                <w:rFonts w:ascii="Times New Roman;Times;serif" w:hAnsi="Times New Roman;Times;serif"/>
                <w:sz w:val="20"/>
              </w:rPr>
            </w:pPr>
            <w:r>
              <w:rPr>
                <w:rFonts w:ascii="Times New Roman;Times;serif" w:hAnsi="Times New Roman;Times;serif"/>
                <w:sz w:val="20"/>
              </w:rPr>
              <w:t>security breaches of private customer or transaction data;</w:t>
            </w:r>
          </w:p>
        </w:tc>
      </w:tr>
    </w:tbl>
    <w:tbl>
      <w:tblPr>
        <w:tblW w:w="9036" w:type="dxa"/>
        <w:jc w:val="left"/>
        <w:tblInd w:w="0" w:type="dxa"/>
        <w:tblCellMar>
          <w:top w:w="0" w:type="dxa"/>
          <w:left w:w="0" w:type="dxa"/>
          <w:bottom w:w="0" w:type="dxa"/>
          <w:right w:w="0" w:type="dxa"/>
        </w:tblCellMar>
      </w:tblPr>
      <w:tblGrid>
        <w:gridCol w:w="124"/>
        <w:gridCol w:w="181"/>
        <w:gridCol w:w="87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8731" w:type="dxa"/>
            <w:tcBorders/>
            <w:shd w:fill="auto" w:val="clear"/>
            <w:vAlign w:val="center"/>
          </w:tcPr>
          <w:p>
            <w:pPr>
              <w:pStyle w:val="TableContents"/>
              <w:spacing w:before="0" w:after="180"/>
              <w:jc w:val="both"/>
              <w:rPr>
                <w:rFonts w:ascii="Times New Roman;Times;serif" w:hAnsi="Times New Roman;Times;serif"/>
                <w:sz w:val="20"/>
              </w:rPr>
            </w:pPr>
            <w:r>
              <w:rPr>
                <w:rFonts w:ascii="Times New Roman;Times;serif" w:hAnsi="Times New Roman;Times;serif"/>
                <w:sz w:val="20"/>
              </w:rPr>
              <w:t>employment-related claims relating to alleged employment discrimination, wage and hour violations;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8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180"/>
              <w:jc w:val="both"/>
              <w:rPr>
                <w:rFonts w:ascii="Times New Roman;Times;serif" w:hAnsi="Times New Roman;Times;serif"/>
                <w:sz w:val="20"/>
              </w:rPr>
            </w:pPr>
            <w:r>
              <w:rPr>
                <w:rFonts w:ascii="Times New Roman;Times;serif" w:hAnsi="Times New Roman;Times;serif"/>
                <w:sz w:val="20"/>
              </w:rPr>
              <w:t>governmental and regulatory investigations or penalties resulting from our failure to comply with applicable laws and regulations.</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availability of information on instant messaging applications and social media platforms is virtually immediate as is its impact without affording us an opportunity for redress or correction. The opportunity for dissemination of information, including inaccurate information, is seemingly limitless and readily available. Information concerning our company, shareholders, directors, officers and employees may be posted on such platforms at any time. The risks associated with any such negative publicity or incorrect information cannot be completely eliminated or mitigated and may materially harm our reputation,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our brand name and our business may be harmed by aggressive marketing and communication strategies by competitors and third parties. We may be subject to government or regulatory investigation or third-party claims as a result and we may be required to spend significant time and incur substantial costs to react to and address these consequences. There is no assurance that we will be able to effectively refute each of the allegations within a reasonable period of time, or at all. Additionally, public allegations, directly or indirectly, against us or our business partners, may be posted online by anyone on an anonymous basis. The availability of information on social media platforms is virtually immediate, as is its impact. Social media platforms may not necessarily filter or check the accuracy of information before publishing them and we are often afforded little or no time to respond. As a result, our reputation may be materially and adversely affected and our ability to attract and retain customers and maintain our market share and our financial conditions may suffer.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300"/>
        <w:ind w:left="0" w:right="0" w:hanging="0"/>
        <w:jc w:val="both"/>
        <w:rPr>
          <w:rFonts w:ascii="Times New Roman;Times;serif" w:hAnsi="Times New Roman;Times;serif"/>
          <w:b/>
          <w:i/>
          <w:sz w:val="20"/>
        </w:rPr>
      </w:pPr>
      <w:r>
        <w:rPr>
          <w:rFonts w:ascii="Times New Roman;Times;serif" w:hAnsi="Times New Roman;Times;serif"/>
          <w:b/>
          <w:i/>
          <w:sz w:val="20"/>
        </w:rPr>
        <w:t>We may not be successful in developing and achieving expected returns from our diversified hotel brand portfolio, which could adversely affect our financial performance and condition.</w:t>
      </w:r>
    </w:p>
    <w:p>
      <w:pPr>
        <w:pStyle w:val="TextBody"/>
        <w:spacing w:before="0" w:after="300"/>
        <w:ind w:left="0" w:right="0" w:firstLine="360"/>
        <w:jc w:val="both"/>
        <w:rPr>
          <w:rFonts w:ascii="Times New Roman;Times;serif" w:hAnsi="Times New Roman;Times;serif"/>
          <w:sz w:val="20"/>
        </w:rPr>
      </w:pPr>
      <w:r>
        <w:rPr>
          <w:rFonts w:ascii="Times New Roman;Times;serif" w:hAnsi="Times New Roman;Times;serif"/>
          <w:sz w:val="20"/>
        </w:rPr>
        <w:t>We primarily derive our revenues from (i) franchise and management fees from our manachised hotels and sales of hotel supplies to manachised hotels, (ii) operations of our leased hotels, and (iii) sales of our retail products in connection with our scenario-based retail business. We generated net revenues of Atour Light, Atour X, Atour, ZHOTEL, Atour S, and A.T. House. However, any new brands that we have launched or may launch in the future may not achieve anticipated returns. The development of a new brand requires significant upfront market research and accurate prediction of customer preferences, followed by hotel development process that takes a considerable amount of time. We may not possess enough knowledge or experience in expanding into these new market segments and we may face more competition in such new market segments. We cannot assure you that our efforts in developing new hotel will be successful. If a new hotel brand is not well received by our customers, we may not be able to generate sufficient revenue to offset related costs and expenses, and our overall financial performance and condition may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growth depends on our ability to increase revenues generated by our existing and future hotels and from our existing and future members.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While sales growth will depend in part on our plans for new hotel openings, deeper penetration into existing and new geographic markets and increased sales at our existing hotels will also affect our sales growth and will continue to be critical factors affecting our revenue and profit. Our ability to increase the revenues generated by our hotels depends in part on our ability to successfully implement our growth strategy and related initiatives. Our ability to penetrate further into the existing geographic markets where we already have a presence depends in part on our ability to successfully market ourselves and to maintain and increase sales to our existing members and attract more members to our </w:t>
      </w:r>
      <w:r>
        <w:rPr>
          <w:rFonts w:ascii="Times New Roman;Times;serif" w:hAnsi="Times New Roman;Times;serif"/>
          <w:i/>
          <w:sz w:val="20"/>
        </w:rPr>
        <w:t>A-Card</w:t>
      </w:r>
      <w:r>
        <w:rPr>
          <w:rFonts w:ascii="Times New Roman;Times;serif" w:hAnsi="Times New Roman;Times;serif"/>
          <w:sz w:val="20"/>
        </w:rPr>
        <w:t xml:space="preserve"> membership program. We may not be able to achieve our targeted sales growth at our existing and future hotels, and sales at such hotels could decrease. In addition, we may not be able to achieve our targeted level of expansion within existing and new geographic markets. The occurrence of any of such events may have a material adverse effect on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costs and expenses may remain constant or increase even if our revenues decline.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significant portion of our operating costs for a particular period, including rent, is fixed. Accordingly, a decrease in our revenues could result in a disproportionately higher decrease in our earnings because our operating costs and expenses may not decrease proportionately. For example, during January and February, the months during which the Chinese New Year falls, our occupancy rates tend to decline and our revenues fall, but our expenses do not vary significantly since we continue to pay rent and salary, make regular repairs, conduct maintenance and renovations, and invest in other capital improvements on a continuous basis to maintain the attractiveness of our hotels. In addition, our conversion costs may increase as a result of increasing costs of materials and our labor costs may increase over time. However, we have a limited ability to pass increased costs on to guests through hotel room rate increases. For example, our total operating costs increased by 2.4% from RMB1,490.3 million in 2019 to RMB1,526.7 million in 2020, while our net revenue decreased slightly from RMB1,567.1 million in 2019 to RMB1,566.6 million in 2020, primarily due to decreases in occupancy rate and ADR of our hotels as a result of the COVID-19 outbreak. Therefore, our costs and expenses may remain constant or increase even if our revenues decline, which would adversely affect our net margins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Some of our existing development pipeline may not be developed into new hotels, which could materially and adversely affect our growth prospects.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363 hotels with a total of 39,285 hotel rooms in our development pipeline, which we define as hotels under construction or approved for development under our hotel brands. The commitments of owners and developers with whom we have contracts are subject to numerous conditions, and the eventual development and construction of our development pipeline not currently under construction is subject to numerous risks, including, in certain cases, the owner’s or developer’s ability to obtain adequate financing and obtaining governmental or regulatory approvals. As a result, not every hotel in our development pipeline may develop into a new hotel that enters our system.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various operational risks inherent in the manachise business model.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success could be adversely affected by the performance of our manachised hotels, which are subject to a variety of risks inherent in our manachise business model. Under the manachise business model, we manage hotels through the on-site hotel managers and HR representatives we appoint to each hotel and collect fees from franchisees. We plan to continue to increase the number of manachised hotels in the future. Our franchisees may not be able to develop hotel properties on a timely basis, which could adversely affect our growth strategy and may impact our ability to collect fees from them on a timely basis.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oversee and manage the operations of our manachised hotels pursuant to various franchise and management agreements. However, we are not able to control the actions of our franchisees. Under those franchise and management agreements, our franchisees are typically responsible for developing hotel properties on a timely basis, bearing the costs and expenses of developing and operating the hotels, including costs of renovating the hotels to our standards and recruiting and employing hotel staff. However, if our franchisees have difficulties in accessing capital or are reluctant to make investments for the management or renovation of the hotels, we may not be able to force them to secure the required capital and the quality of our manachised hotels’ operations may be thereby diminished. The risk can be magnified where such franchisees own multiple hotels under our brand.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Besides, as the hospitality industry in China is subject to various hospitality industry, health and safety, construction, fire prevention and environmental laws and regulations, we cannot ensure that all of our franchisees or manachised hotels comply with these laws and regulations. We normally require our franchisees to secure relevant governmental approvals and permits for operating the hotels in our standard franchise and management agreements and require that our franchisees provide us with some basic approvals and permits, including, among others, business license, special industry license and fire prevention safety inspection certificates. However, some of our franchisees may fail to obtain or renew such approvals or permits in a timely manner, or at all. Any failure to obtain or renew such approvals or permits or to comply with the laws and regulations will negatively affect the operation of our manachised hotels, which will in turn have a material adverse effect on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many factors affecting the operations of those hotels are beyond our control, we cannot assure you that the quality of the services in our manachised hotels are consistent with our standards and requirements. Although we send for routine inspection purposes regional managers and members of our quality control team to manachised hotels on a regular basis, we may not be able to identify problems in their operations and make responses on a timely basis. Our manachised hotels are also operated under our brand names. As a result, our image and reputation may suffer due to misuse of our brands by any of our franchisees, which may have a material adverse effect on our business and results of operations. In addition, like any operators in service-oriented industries, we are subject to customer complaints and we may face complaints from unsatisfied customers who are unhappy with the standard of service offered by our franchisees. Any complaints, regardless of their nature and validity, may affect our reputation, thereby adversely affecting our results of operations. We may also have to incur additional costs in placating any customers or salvaging our reputation. We have closed a limited number of manachised hotels that did not comply with our brand and operating standards in the past. If any of our franchisees defaults or commits wrongdoing, such franchisee may not be in a position to sufficiently compensate us for losses which we have suffered as a result of such defaults or wrongdoings. While we ultimately can take action to terminate our franchisees that do not comply with the terms of our franchise and management agreements or commit wrongdoing, we may not be able to identify problems and make timely responses and, as a result, our image and reputation may suffer, which may have a material adverse effect on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quality standards, safety incidents such as fire accidents may occur at our manachised hotels despite our supervision. Any such occurrence may result in substantial reputational harm to us and our brands. In addition, if such safety incidents occur at any of the manachised hotels that do not possess the relevant licenses, permits or inspection certificate, there could be substantial negative publicity, thereby triggering government actions that could impact our entire hotel network, which in turn will have a material adverse impact on our business,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our proprietary information system can collect operational and financial data of each hotel, we may not be able to avoid fraud or manipulation of such data by some franchisees, which may adversely affect the ability to effectively respond to potential issues. Moreover, the term of lease for some of the properties of our franchisees is shorter than the typical term of our franchise and management agreements. We cannot assure you that upon expiration, these franchisees will be able to renew their leases in order to perform their franchise and management agreements with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successfully attract new franchisees and compete for franchise and management agreements and, as a result, we may not be able to achieve our planned growth.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growth strategy largely depends on our ability to further expand our presence through entering into franchise and management agreements with our franchisees. We believe that our ability to attract new franchisees and compete for franchise and management agreements with them depends primarily on our brand recognition and reputation, the results of our overall operations in general and the success of our current manachised hotels. Other competitive factors for franchise and management agreements include marketing support, membership program, efficiency of our central reservation system (“CRS”) and IT infrastructure, our ability to provide systems and support to assist franchisees to operate their hotels cost- effectively.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terms of any new franchise and management agreements that we obtain also depend on the terms that our competitors offer for those agreements. In addition, if the availability of suitable locations for new properties decreases, or governmental planning or other local regulations change, the supply of suitable properties for additional manachised hotels could diminish. If the performance of our manachised hotels is less successful than that of our competitors’ hotels or if we are unable to offer terms as favorable as those offered by our competitors, we may not be able to compete effectively for new franchise and management agreements and we may not be able to attract as many new franchisees as we expect. As a result, we may not be able to achieve our planned growth and our business and results of operations may be materially and adversely affected.</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franchise and management agreements could be terminated early and we may not be able to renew our existing franchise and management agreements or renegotiate new franchise and management agreements when they expire.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franchise our brands to third parties pursuant to franchise and management agreements or other similar agreements. These franchise and management agreements may be renegotiated or may expire. The versions of franchise and management agreements we have used during recent years typically have a fixed term of 8 to 15 years. We plan to renew our existing franchise and management agreements upon expiration or renegotiate with our franchisees for new franchise and management agreements. However, we may be unable to retain our franchisees on satisfactory terms, or at all. In addition, our franchise and management agreements could also be terminated early due to a number of reasons, including property disputes or defects, franchisees’ financial difficulties, regulatory non-compliance, and others, many of which are beyond our control. If a significant number of our existing franchise and management agreements expire and new franchisees do not cover those expired franchisees or a significant number of our franchisees terminate the franchise and management agreements with us early, our revenue and profit may decrease in the future, and our results of operations could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disputes could arise between us and our franchisees under our franchise and management agreements. We or our franchisees may take legal actions against each other in connection with such disputes. No assurance can be given as to the outcome of any such legal proceedings, which could have a material adverse effect on our business, results of operations and financial condition. Even if we and our related parties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liabilities and/or penalties.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the hospitality industry in China is highly competitive, the terms of our franchise and management agreements are influenced by contract terms offered by our competitors. We cannot assure you that the terms of franchise and management agreements for new manachised hotels entered into or renewed in the future will be as favorable as the terms under our existing franchise and management agreements. If such agreements cannot be renewed on satisfactory terms upon expiration, our results of operations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comply with franchise regulations may result in penalties to us and could have a material adverse effect on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China, any entity engaging in franchise activities are subject to the supervision and administration of the Ministry of Commerce, or the MOC, and its local counterparts. Under the relevant regulations, franchisors are required to file their franchise agreements with the MOC or its local counterparts, and are required to report to the MOC regarding the franchise agreements that they executed, canceled, renewed or amended in the previous year within the first quarter of every year. Fifteen days after a franchisor first enters into a franchise agreement, the franchisor is required to make appropriate filing with the MOC or its local counterparts. We cannot guarantee that we will obtain all applicable approvals and make all appropriated filings pursuant to laws and regulations, and such non-compliance could subject us to fines and other penalties that may negatively affect our operation, which could result in a material adverse effect on our business. Besides, given the uncertainties in the interpretation of relevant laws and regulations, our management agreements or trademark license agreements may be determined to be franchise agreements by the relevant authorities, in which case we may be required to obtain approvals or make filings for such activities, and failure to do so may also subject us to fines and other penalties.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Besides, the franchise activities are subject to various laws and regulations. For example, before entering into franchise agreements, the franchisor is required to correctly, accurately and fully disclose and provide specified written information to the franchisee regarding the franchised businesses, which includes certain proprietary information. If we violate the disclosure requirements related to franchise activities, our franchisees may choose to terminate their franchise agreements with us, and we could be subject to fines and other penalties that may negatively affect our operation, which could result in a material adverse effect on our business. Apart from that, all franchise agreements are required to include certain provisions, such as termination rights and payment obligations. If we are required to revise our agreements pursuant to applicable laws and regulations, such revised terms may be less favorable to us, which could materially diminish the economic value of our agreements.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convert leased hotels on a timely or cost-efficient basis, which may adversely affect our growth strategy and business prospects.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fund and oversee the conversion of our leased hotels. Our involvement in the conversion of leased properties presents a number of risks, including conversion delays or cost overruns, which may result in increased project costs or lost revenues. We may be unable to recover conversion costs we incur for projects that are not pursued to completion. In addition, properties that we convert could become less attractive due to market saturation or oversupply, meaning we may be unable to recover conversion costs at the expected rate, or at all. Furthermore, we may not have available cash to complete projects that we have commenced, or we may be unable to obtain financing for conversion of future properties on favorable terms, if at all. If we are unable to successfully manage our hotel conversion activities to minimize these risks, our growth strategy and business prospects may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new leased hotels typically incurred significant pre-opening expenses during their development stages and generated relatively low revenues during their ramp-up stages, which may have a significant negative impact on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development stages of each new leased hotel, significant pre-opening expenses will typically be incurred. During the ramp-up stage immediately after the opening of each new leased hotel, its occupancy rate increases gradually and its revenues may be insufficient to cover its operating costs, which are relatively fixed in nature. As a result, most newly opened leased hotels may not achieve profitability until they reach a mature level of operations. We may also be unable to recover development costs we incur for projects that are not completed. Any expansion of our leased hotel portfolio would incur significant pre-opening expenses during the development stage and relatively low revenues during the ramp-up stage of such newly opened leased hotels, whose expenses may have a significant negative impact on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Properties that we develop could become less attractive due to market saturation, oversupply or changes in market demand, with the result that we may not be able to recover development costs as we expect, or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legal right to lease certain properties to operate our leased hotels could be challenged by property owners or other third parties, which could prevent us from continuing to operate our leased hotels or increase the costs associated with operating these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on leases with third parties who either own or lease the properties from the ultimate property owners to operate our leased hotels. The land use rights and other property rights with respect to properties we currently lease for our existing hotels could be challenged. As of December 31, 2022, our lessors failed to provide us with the valid property ownership certificates and/or the land use rights certificates for approximately 7.7% of all of our leased hotels in terms of gross floor area. While we have performed due diligence to verify the rights of our lessors to lease such properties, including inspecting documentation issued by competent government authorities evidencing these lessors’ land use rights and other property rights with respect to these properties, the lessees’ rights under those leases could be challenged by other parties including government authorities in China. If the properties are deemed to be illegal constructions or the landlords do not have the rights to lease the properties to the lessees for hotel operations purposes, the lessors (instead of the lessees) may be subject to monetary penalties and the lease agreements may be invalidated. We may therefore be required to relocate our relevant hotels. In addition, some of our properties where our leased hotels are located are owned by governmental and other third-party organizations, and such leases are subject to present and future policies in China related to government-owned properties or other similar types of properties. In the event that we could no longer operate on such sites, we may suffer financial losses.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cannot assure you that we can always keep good title of the properties we lease currently or will lease in the future, free and clear of all liens, encumbrances and defects. If the ultimate owner of the property changes after the original owner of such property mortgages such property to any third party, lessees’ legal rights under the lease agreement may be affected adversely and we may not rank senior in the right of continuing occupying the property. In addition to the above risks, we also face potential disputes with property owners, primary lease holders or third parties. Such disputes, whether or not resolved in our favor, may divert management attention, involve significant cost, harm our reputation and otherwise disrupt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comply with lease registration under PRC law may subject both parties to such leases to fines or other penalties that may negatively affect our ability to operate our leased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PRC law, all lease agreements of commodity housing tenancy are required to be registered with the local housing bureau, including those relating to the leased properties underlying our leased hotels. While the majority of our standard lease agreements require the lessors to make such registrations, most of our leases entered into in connection with our leased hotels as of the date of this annual report have not been registered as required by PRC law, which may expose both lessors and lessees to potential monetary fines ranging from RMB1,000 to RMB10,000 for each non-registration. Some of our rights under the unregistered leases may also be subordinated to the rights of other interested third parties.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some instances where the lessors or lessees are not the ultimate owners of hotel properties, no consents or permits have been obtained from the property owners, the primary lease holders or competent government authorities, as applicable, for the subleases of the hotel properties to certain of our hotels, which could potentially invalidate the leases for our hotel properties or lead to the renegotiation of such leases that result in terms less favorable to us or even relocation of our relevant hotels. Some of the properties leased from third parties were also subject to mortgages at the time the leases were signed. Moreover, the property ownership or leasehold in connection with our manachised hotels could be subject to similar third-party claims.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comply with land- and property-related requirements under PRC law may subject lessors to fines or other penalties that may negatively affect our ability to operate our leased hotels.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Lessors of our hotel properties are required to comply with various land- and property-related laws and regulations to enable them to lease effective titles of their properties for our hotel use. For example, before any properties located on state-owned land in China with allocated or leased land use rights or on land owned by collective organizations may be leased to third parties, lessors should obtain appropriate approvals from competent government authorities. In addition, properties used for hotel operations and the underlying land should be approved for hospitality use or appropriate commercial use purposes by competent government authorities. Some of the lessors of our hotel properties have not obtained the required governmental approvals, including approvals of the properties for hospitality use purposes. As of December 31, 2022, for approximately 24.4% of our leased hotels in terms of gross floor area, the lessors have not obtained the required governmental approvals for the properties to be used for hospitality use purposes. Failure to comply with the land- and property-related laws and regulations may subject the lessors to monetary fines or other penalties and may lead to the invalidation or termination of the leases and relocation of our relevant leased hotels, and therefore may adversely affect our results of operations. While some lessors have agreed to indemnify lessees against the losses resulting from the lessors’ failure to obtain the required approvals, there is no assurance that the lessees will be able to successfully enforce such indemnification obligations against the lessors or that such indemnification can cover losses from all the property defects. As a result, we may suffer significant losses resulting from the lessors’ failure to obtain required approvals to the extent that the lessees are not fully indemnified by the lessors.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lease agreements for our leased hotels could be terminated early, the existing leases may not be renewed on commercially reasonable terms and the rents paid by us could increase substantially, which could materially and adversely affect our operations.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terms of leases for leased hotels typically provide, among other things, that the lease could be terminated under certain legal or factual conditions. If any such lease were terminated early, operations of the related hotel property may be interrupted or discontinued and costs may be incurred by us to relocate to another location. Furthermore, we may be liable to our lessors, guests and other vendors and may be required to pay losses and damages due to our default under relevant contracts. As a result, our business, results of operations and financial condition could be materially and adversely affected.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Although we intend to renew existing leases of certain of our leased hotels, there can be no assurance that we will be able to renew such leases and maintain current hotel operations on satisfactory terms, or at all. In particular, we may experience increased rent payments and increased operating cost in connection with renegotiating leases. If we fail to maintain current hotel operations on satisfactory terms upon expiration of the leases, the respective operating costs of our company may increase and overall profits generated from hotel operations may decrease. If we are unable to pass on increased costs to our guests through room rate increases, the operating margins and earnings of our company could decrease and our results of operations could be materially and adversely affected.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leases typically allow us to terminate the lease early under limited circumstances, and in some instances, our leases contain a term which requires us to pay the contingent rent for our wrongful early termination of such agreements. If disputes between us and our landlords occur in the future, and resolved in favor of our landlords, we may need to pay losses and damages to the landlords and as a result, our business, results of operations and financial condition could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Default in payment by franchisees and/or corporate account clients that have large account receivable balances could adversely impact our cash flows, working capital,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accounts receivable include amounts due from our franchisees and corporate clients whose employees are guests in our leased hotels. Our corporate clients may choose to settle with us directly, and we typically require our franchisees to pay various fees pursuant to their franchise and management agreements with us on a monthly basis. Our net accounts receivable balance was RMB100.0 million and RMB132.7 million (US$19.2 million) as of December 31, 2021 and 2022,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the risk that we may be unable to collect accounts receivable in a timely manner, or at all. An extended period of hotel room vacancy or decrease in room rates, which may be the result of a variety of factors such as unfavorable economic conditions in China and globally, may adversely affect our ability to collect accounts receivable in a timely manner, or at all. Such risk was higher as a result of the outbreak of COVID-19 resulting in financial difficulties of certain of our franchisees. We extended credit terms to certain franchisees during the pandemic as part of our support for franchisees. As a result, our franchisees and/or corporate account clients may not be able to pay us in a timely fashion and our accounts receivable and allowance for doubtful accounts may accordingly increase. Our liquidity and cash flows from operations may be adversely affected if our accounts receivable cycles or collections periods lengthen or if we encounter a material increase in defaults of payment of our account receivable.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mitigate such risks, we conduct rigorous due diligence checks on prospective franchisees and regularly assess the creditworthiness of corporate account clients. However, these mitigating efforts cannot ensure that we will be able to collect accounts receivable. If the accounts receivable cannot be collected in time, or at all, a significant amount of bad debt expense will occur, and our business, financial condition and results of operation will likely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Interruption or failure of our technology platform or IT system could impair our ability to effectively provide accommodations and services, which could damage our reputation.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provide consistent and high-quality services across our hotel chain depends on the continued operation of our technology platform and IT system. Any damage to, or failure of, our technology platform or IT system could interrupt our service. Our technology platform and IT system are vulnerable to damage or interruption as a result of power loss, telecommunications failures, computer viruses, hackers, fires, floods, earthquakes, or other attempts or incidents to harm our systems, and similar events. We rely on cloud servers maintained by third-party service providers to store most of our data. Problems with our cloud service provider or the telecommunications network providers with whom it contract could adversely affect the experience of our guests. Our cloud service provider could decide to cease providing us with services without adequate prior notice. Any change in service levels at our cloud servers or any errors, defects, disruptions, or other performance problems with our platform could harm our brand and may damage the data of our guests. In addition, our servers may also be vulnerable to break-ins, sabotage and vandalism. Some of our systems are not fully redundant and our disaster recovery planning does not account for all possible scenarios. In addition, our technology platform, IT system and related technologies may become outdated and we may not be able to replace or introduce upgrades as quickly as our competitors or within budgeted costs for such upgrades. If we experience frequent, prolonged or persistent technology platform or IT system failures, the quality of our services and our reputation could be harmed. The steps we need to take to increase the reliability and redundancy of our technology platform and IT system may be costly, which could reduce our operating margin, and may not be successful in reducing the frequency or duration of any failures or service interruptions.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our business also relies upon the overall performance of the internet infrastructure and telecommunications networks in China. Almost all access to the internet is maintained through state-owned telecommunications operators under the administrative control and regulatory supervision of the Ministry of Industry and Information Technology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Our platform regularly serves a large number of guests, franchisees and suppliers. With the expansion of our business, we may be required to upgrade our technology and infrastructure 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IT capabilities and infrastructure fail to keep up with our growing business needs, industry trends or technological developments, our business, results of operations and financial condition may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substantial growth in the past and plan to further expand our business in the future. Our expansion has placed, and will continue to place, substantial demands on our IT capabilities and infrastructure. In order to manage and support our growth, we must continue to improve our IT systems, including investments in IT infrastructure and recruitment and training of IT personnel. We cannot assure you that the development of our IT capabilities and infrastructure will keep up with our growing business needs. If we fail to do so, our business, results of operations and financial condition may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the hospitality industry is rapidly evolving and subject to continuous technological changes. Our success will depend on our ability to keep up with the changes in technology and user behavior resulting from new developments and innovations. For example, as we provide our product and service offerings across a variety of mobile systems and devices, we are dependent on the interoperability of our services with popular mobile devices and mobile operating systems that we do not control, such as Android and iOS. If any changes in such mobile operating systems or devices degrade the functionality of our services or give preferential treatment to competitive services, the usage of our services could be adversely affected. In addition, we have invested in developing our data analytics and other technologies to improve our customer services and operational efficiency, but there is no guarantee that such investments may result in our anticipated outcomes or returns.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Technological innovations may also require substantial capital expenditures in product or service development as well as in modification of products, services or infrastructure. We cannot assure you that we can obtain financing to cover such expenditure. See “Item 3. Key Information—3.D. Risk Factors—Risks Related to Our Business and Industry—We require significant capital to fund our operations, growth and technological investments. If we cannot obtain sufficient capital on acceptable terms, our business, financial condition and prospects may suffer.” If we fail to adapt our products and services to such changes in an effective and timely manner, we may suffer from decreased user traffic and user base, which, in turn, could materially and adversely affect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growth of third-party websites and other hotel reservation intermediaries and travel consolidators may adversely affect our margins and profitability.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hotel rooms are reserved through third-party websites and other hotel reservation intermediaries and travel consolidators to whom we pay commissions for such services. We believe that such intermediaries and consolidators aim to have consumers develop loyalties to their reservation systems rather than to hotel brands such as ours. In addition, as the competitive landscape of the third-party hotel reservation intermediary business evolves, if one or more of these intermediaries and consolidators become a more significant channel through which our guests make reservations, they may be able to negotiate higher commissions, reduced room rates, or other significant concessions from us, which could adversely affect our margins and profitability. These intermediaries and consolidators also may favor other hotel brands with more promotional resources, leading to a decrease in our bookings. Although our contracts with many hospitality intermediaries offer preferential commission rates to hotels, we may not be able to renegotiate these contracts upon their expiration with terms as favorable as existing terms of these contracts.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risks associated with the misconduct of our employees, business partners and their employees and other related personnel.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on our employees to maintain and operate our business and have implemented an internal code of conduct to guide the actions of our employees. However, we do not have control over the actions of our employees, our business partners and their employees, and any misbehavior of our employees could materially and adversely affect our reputation and business. Despite the security measures we have implemented, we may be vulnerable to misconduct committed by our employees, our business partners and their employees and other related personnel. If an actual or perceived misconduct occurs, the market perception of the effectiveness of our services could be harmed, we may lose current and potential customers, and we may be exposed to legal and financial risks, including those from legal claims, regulatory fines and penalties, which in turn could adversely affect our business, reputation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our relationships with our members and corporate account clients, our business and financial condition could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Historically, we have derived a portion of our revenues from our loyalty program members and from our cooperation arrangements with certain corporate account clients. In 2022, over 80% of our room-nights were sold to our </w:t>
      </w:r>
      <w:r>
        <w:rPr>
          <w:rFonts w:ascii="Times New Roman;Times;serif" w:hAnsi="Times New Roman;Times;serif"/>
          <w:i/>
          <w:sz w:val="20"/>
        </w:rPr>
        <w:t>A-Card</w:t>
      </w:r>
      <w:r>
        <w:rPr>
          <w:rFonts w:ascii="Times New Roman;Times;serif" w:hAnsi="Times New Roman;Times;serif"/>
          <w:sz w:val="20"/>
        </w:rPr>
        <w:t xml:space="preserve"> members and corporate account clients through our direct sales channels. We expect that these members and corporate account clients will contribute to the growth of our business in the near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our members will remain loyal patrons of our hotels and that our corporate account clients will agree to renew the relevant cooperation agreements upon their expiration, or enter into new agreements with us on substantially similar terms. Our negotiating position with corporate account clients also is limited given the competition in China’s hospitality industry. If we fail to enhance or maintain our relationships with our members, and the frequency of member stays at our hotels declines as a result, or if our corporate account clients decline to renew their cooperation agreements or propose new agreements with commercial terms less favorable to us, our business and financial condition could be materially and adversely affected.</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cessation, reduction or taxation of program benefits of our A-Card loyalty program could adversely affect our brand and guest loyalty.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We manage the </w:t>
      </w:r>
      <w:r>
        <w:rPr>
          <w:rFonts w:ascii="Times New Roman;Times;serif" w:hAnsi="Times New Roman;Times;serif"/>
          <w:i/>
          <w:sz w:val="20"/>
        </w:rPr>
        <w:t>A-Card</w:t>
      </w:r>
      <w:r>
        <w:rPr>
          <w:rFonts w:ascii="Times New Roman;Times;serif" w:hAnsi="Times New Roman;Times;serif"/>
          <w:sz w:val="20"/>
        </w:rPr>
        <w:t xml:space="preserve"> loyalty program for our brand. Program members accumulate points based on eligible stays and hotel charges as well as purchase of our retail products and redeem the points for a range of benefits including free rooms and other items of value. The program is an important aspect of our business and of the affiliation value for hotel owners under franchise and management agreements. Currently, the program benefits are not taxed as income to members under PRC tax laws. If the program awards and benefits are materially altered, curtailed or taxed such that a material number of </w:t>
      </w:r>
      <w:r>
        <w:rPr>
          <w:rFonts w:ascii="Times New Roman;Times;serif" w:hAnsi="Times New Roman;Times;serif"/>
          <w:i/>
          <w:sz w:val="20"/>
        </w:rPr>
        <w:t>A-Card</w:t>
      </w:r>
      <w:r>
        <w:rPr>
          <w:rFonts w:ascii="Times New Roman;Times;serif" w:hAnsi="Times New Roman;Times;serif"/>
          <w:sz w:val="20"/>
        </w:rPr>
        <w:t xml:space="preserve"> members choose to no longer participate in the program, this could adversely affect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Scalpers may exploit our A-Card loyalty program by reserving rooms at member-only price and resell such room reservation to our prospective guests, which could adversely affect our guests’ hotel experience and harm our brand and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offer our </w:t>
      </w:r>
      <w:r>
        <w:rPr>
          <w:rFonts w:ascii="Times New Roman;Times;serif" w:hAnsi="Times New Roman;Times;serif"/>
          <w:i/>
          <w:sz w:val="20"/>
        </w:rPr>
        <w:t>A-Card</w:t>
      </w:r>
      <w:r>
        <w:rPr>
          <w:rFonts w:ascii="Times New Roman;Times;serif" w:hAnsi="Times New Roman;Times;serif"/>
          <w:sz w:val="20"/>
        </w:rPr>
        <w:t xml:space="preserve"> members certain discounts to room price as part of the membership benefits. Scalpers have tried to and may continue to exploit these </w:t>
      </w:r>
      <w:r>
        <w:rPr>
          <w:rFonts w:ascii="Times New Roman;Times;serif" w:hAnsi="Times New Roman;Times;serif"/>
          <w:i/>
          <w:sz w:val="20"/>
        </w:rPr>
        <w:t>A-Card</w:t>
      </w:r>
      <w:r>
        <w:rPr>
          <w:rFonts w:ascii="Times New Roman;Times;serif" w:hAnsi="Times New Roman;Times;serif"/>
          <w:sz w:val="20"/>
        </w:rPr>
        <w:t xml:space="preserve"> room discounts by reserving rooms at a lower member-only price and resell to a non-member guest at a higher price. Such exploitation not only results in losses of our revenue but also adversely affects our guests’ hotel experience and harms our brand and business. To prevent such exploitation and ensure the quality of our guests’ hotel experience, we have taken various measures. Nevertheless, there can be no assurance that our efforts against such exploitation will be successful. If we fail to effectively prevent scalpers from exploiting our </w:t>
      </w:r>
      <w:r>
        <w:rPr>
          <w:rFonts w:ascii="Times New Roman;Times;serif" w:hAnsi="Times New Roman;Times;serif"/>
          <w:i/>
          <w:sz w:val="20"/>
        </w:rPr>
        <w:t>A-Card</w:t>
      </w:r>
      <w:r>
        <w:rPr>
          <w:rFonts w:ascii="Times New Roman;Times;serif" w:hAnsi="Times New Roman;Times;serif"/>
          <w:sz w:val="20"/>
        </w:rPr>
        <w:t xml:space="preserve"> loyalty program, our guests’ hotel experience could be harmed and we will suffer loss of revenue, which could in turn adversely affect our brand, reputation and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various risks associated with our brand license agreements in connection with our themed hotels and our licensors which could adversely affect our business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themed hotels are developed under license agreements which grant us the right to use certain intellectual property such as our business partners’ brand names, trademarks and logos. These license agreements typically have terms between one to 10 years, some of which are not automatically renewable, and give the licensor the right to terminate the license agreement due to certain reasons like material breach or non-performance of such license agreements. We may not be able to renew any or some of the existing license agreements. We believe our ability to retain our license agreements depends, in large part, on our relationships with our licensors. Any events or developments adversely affecting those relationships could adversely affect our ability to maintain and renew our license agreements on similar terms or at all. The termination or lack of renewal of one or more of our license agreements, or the renewal of a license agreement on less favorable terms, could have a material adverse effect on our business, financial condition and results of operations. While we may enter into additional license agreements in the future, the terms of such license agreements may be less favorable than the terms of our existing license agreements. In addition, our collaboration with licensors are generally non-exclusive. Licensors may work with our competitors or new participants in the market. This lowers entry barrier for market players who plan to enter the themed hotel market and operate hotels based on the same non-exclusive licensed intellectual property rights, resulting in more competition and creating pricing pressure.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breach any obligations set forth in any of our license agreements, we could be subject to monetary and other penalties and our rights under such license agreements could be terminated, either of which could have a material adverse effect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our themed hotels is also partially dependent on the reputation of our licensors and their intellectual property rights and the ability of our licensors to protect and maintain the intellectual property rights that we use in connection with our hotels, all of which may be harmed by factors outside our control, including unfavorable publicity or negative news regarding us or our licensors, which could adversely affect our reputation and our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to protect our trademarks and other intellectual property rights could have a negative impact on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brand, trade name, trademarks and other intellectual property are critical to our success. “Atour” and “</w:t>
      </w:r>
      <w:r>
        <w:rPr>
          <w:rFonts w:ascii="Times New Roman;Times;serif" w:hAnsi="Times New Roman;Times;serif"/>
          <w:i/>
          <w:sz w:val="20"/>
        </w:rPr>
        <w:t>Yaduo”</w:t>
      </w:r>
      <w:r>
        <w:rPr>
          <w:rFonts w:ascii="Times New Roman;Times;serif" w:hAnsi="Times New Roman;Times;serif"/>
          <w:sz w:val="20"/>
        </w:rPr>
        <w:t xml:space="preserve"> represent a well-recognized brand in China’s hospitality industry and the success of our business depends in part upon our continued ability to use our brand, trade names and trademarks to increase brand awareness and to further develop our brand. Although we have registered “</w:t>
      </w:r>
      <w:r>
        <w:rPr>
          <w:rFonts w:ascii="Times New Roman;Times;serif" w:hAnsi="Times New Roman;Times;serif"/>
          <w:i/>
          <w:sz w:val="20"/>
        </w:rPr>
        <w:t>Yaduo</w:t>
      </w:r>
      <w:r>
        <w:rPr>
          <w:rFonts w:ascii="Times New Roman;Times;serif" w:hAnsi="Times New Roman;Times;serif"/>
          <w:sz w:val="20"/>
        </w:rPr>
        <w:t>”, “Atour” and other logos related to our business as trademarks in China, there is no assurance that any issued patents or registered trademarks will adequately protect our intellectual property, or that such patents and trademarks will not be challenged by third parties or found by a judicial authority to be invalid or unenforceable. Besides, our trade secrets may leak or otherwise become available to, or be independently discovered by, our competitors or other third parties. Some of our trademark applications may not be granted for various reasons, including existence of prior registrations, applications or rights, or rejection by the authorities in their discretion. If our trademark applications are not granted, we may have to use different marks for affected products or services, or seek other alternative arrangements, which might not be available on commercially reasonable terms, if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consider our technology platform and IT system to be key components of our competitive advantage and our growth strategy. There can be no assurance that our future computer software copyright applications will be granted. Monitoring and preventing the unauthorized use of our intellectual property is difficult. Any unauthorized use of our intellectual property by third parties may adversely affect our current and future revenues and our reputation. If there is a third party using similar brand or logos that attempt to cause confusion or diversion of customer demands away from us, preventing such behavior could be difficult, costly and time-consuming and the steps we take may be inadequate to prevent the infringement or misappropriation of our intellectual property. The unauthorized use of our trademarks or the use of confusingly similar brands could diminish the value of our brand and its market acceptance, competitive advantages and goodwill.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measures we take to protect our brand, trade names, trademarks and other intellectual property rights may be costly, involve substantial management time and resources to enforce and may fail to prevent their unauthorized use by third parties.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There is no assurance that we will prevail in such litigation, and even if we do prevail, we may not obtain a meaningful recovery. Furthermore, the application of laws governing intellectual property rights in China is uncertain and evolving, and could involve substantial risks to us. If we are unable to adequately protect our brand, trade names, trademarks and other intellectual property rights, we may lose these rights and our business may suffer materially.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once our registered trademarks have expired, we will be able to renew our trademark registrations for another ten years upon paying a renewal fee. If we are unable to renew or maintain one or more trademark registrations, our ability to use such trademarks could be impaired, which could materially and adversely affect the performance of our existing franchise and management agreements, our ability to enter into future franchise and management agreements, and our business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liable for intellectual property infringement relating to intellectual properties of third parties, which may materially and adversely affect our business, financial condition and prospects.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other aspects of our operations do not or will not infringe upon or violate intellectual property rights (including but not limited to trademarks, patents, copyrights, know-how) or other rights (including but not limited to portraiture right) owned or held by third parties. We have been involved in claims against us alleging our infringement of third-party intellectual property rights on certain computer software. Any such intellectual property rights infringement claim could result in costly remedial measures and may adversely affect our business and financial condition. We have adopted systematic methods to reduce our exposure to the risks of intellectual property infringement claims. However, we cannot assure you those methods are sufficient to shield us from third party liabilities for intellectual property infringement, or our efforts will be considered favorably by a given court or relevant governmental authority. Liabilities for intellectual property infringement, or allegations of such infringement, may impose a burden on our management, cause penalties, lead to unfavorable media coverage and damage to our reputation, or even cause PRC authorities to impose sanctions on us, including, in serious cases, suspending our operation, which may materially and adversely affect our business, financial condition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retain our senior management team and other key employees could harm our business and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future success significantly depends upon the continuing service of our senior management team, including, our founder, Chairman of Board of Directors and Chief Executive Officer, Mr. Haijun Wang. If one or more members of our senior management team or other key employees are unable or unwilling to continue in their present position, we may not be able to replace them easily, or at all. As a result, our business could be severely disrupted and our financial condition and results of operations could be materially and adversely affected. We do not carry key person insurance on any of our senior management team. In addition, our senior management team has limited experience in running public companies, which will require us to expend additional resources in hiring additional support staff and incur additional costs and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not able to recruit, train and retain qualified managerial and other employees, our brand and our business may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continue to conduct and expand our operations depends on our ability to attract and retain a large and growing number of qualified personnel in China. Our ability to meet our labor needs, including our ability to find qualified personnel to fill positions that become vacant, while controlling labor costs, is generally subject to numerous external factors, including the availability of a sufficient number of qualified persons in the work force of the markets in which we operate, unemployment levels within those markets, prevailing wage rates, changing demographics, health and other insurance costs and adoption of new or revised employment and labor laws and regulations. If we are unable to locate, attract or retain qualified personnel, or manage leadership transition successfully, the quality of service we provide to customers and franchisees may decrease and our financial performance may be adversely affected. In addition, if our costs of labor or related costs increase for other reasons or if new or revised labor laws, rules or regulations or healthcare laws are adopted or implemented that further increase our labor costs, our financial performance could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our hotel managers and HR representatives are responsible for managing our manachised hotels and interact with our guests on a daily basis and are critical to maintaining our consistent and high- quality accommodations and services, as well as our established brand and reputation. We aim to recruit, train and retain entrepreneurial, motivated and customer-oriented hotel managers and HR representatives with backgrounds and experience in hotel, service and other industries. We must recruit and train qualified hotel managers and HR representatives on a timely basis to keep pace with our rapid growth. There may be a limited supply of such qualified individuals in some of the metropolitan markets in China where we have operations and other cities into which we intend to expand. In addition, criteria such as dedication to work and commitment to high-quality of customer service are difficult to ascertain during the recruitment process. We also must provide continuous training to our hotel managers and HR representatives so that they can stay abreast of changes in our hotel operations and consumer preferences and demands, and meet and implement our quality standards. If we fail to recruit, train and retain qualified hotel managers and HR representatives, our quality standards may decrease in one or more of our hotels and our manachised hotels’ operation may be adversely affected, which in turn may have a material and adverse effect on our brand, our business, and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successful in developing and achieving expected returns from our new products or services, including our innovative scenario-based retail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hotel offerings, we are also currently engaged in other innovative business lines, including our scenario-based retail (including our expanding private label product offerings). There is no guarantee that we may further expand our product service offerings, attract more customers, and drive customer spending on such businesses.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our scenario-based retail services are subject to various potential liabilities and risks commonly associated with e-commerce or online retail, including, among others:</w:t>
      </w:r>
    </w:p>
    <w:tbl>
      <w:tblPr>
        <w:tblW w:w="4341" w:type="dxa"/>
        <w:jc w:val="left"/>
        <w:tblInd w:w="0" w:type="dxa"/>
        <w:tblCellMar>
          <w:top w:w="0" w:type="dxa"/>
          <w:left w:w="0" w:type="dxa"/>
          <w:bottom w:w="0" w:type="dxa"/>
          <w:right w:w="0" w:type="dxa"/>
        </w:tblCellMar>
      </w:tblPr>
      <w:tblGrid>
        <w:gridCol w:w="124"/>
        <w:gridCol w:w="181"/>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0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product liability disputes and related liabilities;</w:t>
            </w:r>
          </w:p>
        </w:tc>
      </w:tr>
    </w:tbl>
    <w:tbl>
      <w:tblPr>
        <w:tblW w:w="3906" w:type="dxa"/>
        <w:jc w:val="left"/>
        <w:tblInd w:w="0" w:type="dxa"/>
        <w:tblCellMar>
          <w:top w:w="0" w:type="dxa"/>
          <w:left w:w="0" w:type="dxa"/>
          <w:bottom w:w="0" w:type="dxa"/>
          <w:right w:w="0" w:type="dxa"/>
        </w:tblCellMar>
      </w:tblPr>
      <w:tblGrid>
        <w:gridCol w:w="124"/>
        <w:gridCol w:w="181"/>
        <w:gridCol w:w="36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6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food safety disputes and related liabilities;</w:t>
            </w:r>
          </w:p>
        </w:tc>
      </w:tr>
    </w:tbl>
    <w:tbl>
      <w:tblPr>
        <w:tblW w:w="5766" w:type="dxa"/>
        <w:jc w:val="left"/>
        <w:tblInd w:w="0" w:type="dxa"/>
        <w:tblCellMar>
          <w:top w:w="0" w:type="dxa"/>
          <w:left w:w="0" w:type="dxa"/>
          <w:bottom w:w="0" w:type="dxa"/>
          <w:right w:w="0" w:type="dxa"/>
        </w:tblCellMar>
      </w:tblPr>
      <w:tblGrid>
        <w:gridCol w:w="124"/>
        <w:gridCol w:w="181"/>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intellectual property infringement disputes and related liabilities;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portrait right infringement disputes and liabilities associated with the marketing materials that we use to promote our products;</w:t>
            </w:r>
          </w:p>
        </w:tc>
      </w:tr>
    </w:tbl>
    <w:tbl>
      <w:tblPr>
        <w:tblW w:w="8991" w:type="dxa"/>
        <w:jc w:val="left"/>
        <w:tblInd w:w="0" w:type="dxa"/>
        <w:tblCellMar>
          <w:top w:w="0" w:type="dxa"/>
          <w:left w:w="0" w:type="dxa"/>
          <w:bottom w:w="0" w:type="dxa"/>
          <w:right w:w="0" w:type="dxa"/>
        </w:tblCellMar>
      </w:tblPr>
      <w:tblGrid>
        <w:gridCol w:w="124"/>
        <w:gridCol w:w="181"/>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68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disputes and liabilities related to pricing, advertisements, consumer protection, privacy and data security;</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non-compliance risks under various laws and regulations, including those laws and regulations relating to online platforms.</w:t>
            </w:r>
          </w:p>
        </w:tc>
      </w:tr>
    </w:tbl>
    <w:tbl>
      <w:tblPr>
        <w:tblW w:w="6321" w:type="dxa"/>
        <w:jc w:val="left"/>
        <w:tblInd w:w="0" w:type="dxa"/>
        <w:tblCellMar>
          <w:top w:w="0" w:type="dxa"/>
          <w:left w:w="0" w:type="dxa"/>
          <w:bottom w:w="0" w:type="dxa"/>
          <w:right w:w="0" w:type="dxa"/>
        </w:tblCellMar>
      </w:tblPr>
      <w:tblGrid>
        <w:gridCol w:w="124"/>
        <w:gridCol w:w="181"/>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0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risks related to refund policy, storage and transportation of our products;</w:t>
            </w:r>
          </w:p>
        </w:tc>
      </w:tr>
    </w:tbl>
    <w:tbl>
      <w:tblPr>
        <w:tblW w:w="3771" w:type="dxa"/>
        <w:jc w:val="left"/>
        <w:tblInd w:w="0" w:type="dxa"/>
        <w:tblCellMar>
          <w:top w:w="0" w:type="dxa"/>
          <w:left w:w="0" w:type="dxa"/>
          <w:bottom w:w="0" w:type="dxa"/>
          <w:right w:w="0" w:type="dxa"/>
        </w:tblCellMar>
      </w:tblPr>
      <w:tblGrid>
        <w:gridCol w:w="124"/>
        <w:gridCol w:w="181"/>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4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fluctuations in the price of raw materials;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reliance on third-party manufactures for our private label products and their ability to produce and supply products in compliance with our specifications;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166" w:type="dxa"/>
        <w:jc w:val="left"/>
        <w:tblInd w:w="0" w:type="dxa"/>
        <w:tblCellMar>
          <w:top w:w="0" w:type="dxa"/>
          <w:left w:w="0" w:type="dxa"/>
          <w:bottom w:w="0" w:type="dxa"/>
          <w:right w:w="0" w:type="dxa"/>
        </w:tblCellMar>
      </w:tblPr>
      <w:tblGrid>
        <w:gridCol w:w="124"/>
        <w:gridCol w:w="181"/>
        <w:gridCol w:w="78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86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lack of effective control over our franchisees, who act as distributors for our retail products; and</w:t>
            </w:r>
          </w:p>
        </w:tc>
      </w:tr>
    </w:tbl>
    <w:tbl>
      <w:tblPr>
        <w:tblW w:w="2691" w:type="dxa"/>
        <w:jc w:val="left"/>
        <w:tblInd w:w="0" w:type="dxa"/>
        <w:tblCellMar>
          <w:top w:w="0" w:type="dxa"/>
          <w:left w:w="0" w:type="dxa"/>
          <w:bottom w:w="0" w:type="dxa"/>
          <w:right w:w="0" w:type="dxa"/>
        </w:tblCellMar>
      </w:tblPr>
      <w:tblGrid>
        <w:gridCol w:w="124"/>
        <w:gridCol w:w="181"/>
        <w:gridCol w:w="238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38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inventory impairment risks.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Going forward, we plan to build lifestyle brands around hotel offerings and further diversify our non-hotel brand portfolio. However, any new products or services that we have launched or may launch in the future may not achieve anticipated returns. The development of a new product or service requires significant upfront market research and accurate prediction of customer preferences, followed by development process that takes a considerable amount of time as well as significant sales and marketing activities. We cannot assure you that our efforts in developing new products or services will be successful. If a new product or service is not well received by our customers, we may not be able to generate sufficient revenue to offset related costs and expenses, and our overall financial performance and condition may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were to be sued for product liability, we could face substantial liabilities that exceed our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third-party and private label products that we sell through our scenario-based retail business could lead to the filing of product liability claims where someone may allege that the products that we sold failed to perform as designed or caused certain injuries or losses. We may be subject to product liability claims resulting from misuse of the products that we sold and we currently do not maintain any product liability insurance.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tbl>
      <w:tblPr>
        <w:tblW w:w="1941" w:type="dxa"/>
        <w:jc w:val="left"/>
        <w:tblInd w:w="0" w:type="dxa"/>
        <w:tblCellMar>
          <w:top w:w="0" w:type="dxa"/>
          <w:left w:w="0" w:type="dxa"/>
          <w:bottom w:w="0" w:type="dxa"/>
          <w:right w:w="0" w:type="dxa"/>
        </w:tblCellMar>
      </w:tblPr>
      <w:tblGrid>
        <w:gridCol w:w="124"/>
        <w:gridCol w:w="181"/>
        <w:gridCol w:w="16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6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costs of litigation;</w:t>
            </w:r>
          </w:p>
        </w:tc>
      </w:tr>
    </w:tbl>
    <w:tbl>
      <w:tblPr>
        <w:tblW w:w="5736" w:type="dxa"/>
        <w:jc w:val="left"/>
        <w:tblInd w:w="0" w:type="dxa"/>
        <w:tblCellMar>
          <w:top w:w="0" w:type="dxa"/>
          <w:left w:w="0" w:type="dxa"/>
          <w:bottom w:w="0" w:type="dxa"/>
          <w:right w:w="0" w:type="dxa"/>
        </w:tblCellMar>
      </w:tblPr>
      <w:tblGrid>
        <w:gridCol w:w="124"/>
        <w:gridCol w:w="181"/>
        <w:gridCol w:w="54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distraction of management’s attention from our primary business;</w:t>
            </w:r>
          </w:p>
        </w:tc>
      </w:tr>
    </w:tbl>
    <w:tbl>
      <w:tblPr>
        <w:tblW w:w="7056" w:type="dxa"/>
        <w:jc w:val="left"/>
        <w:tblInd w:w="0" w:type="dxa"/>
        <w:tblCellMar>
          <w:top w:w="0" w:type="dxa"/>
          <w:left w:w="0" w:type="dxa"/>
          <w:bottom w:w="0" w:type="dxa"/>
          <w:right w:w="0" w:type="dxa"/>
        </w:tblCellMar>
      </w:tblPr>
      <w:tblGrid>
        <w:gridCol w:w="124"/>
        <w:gridCol w:w="181"/>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7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inability to market relevant products on our retail stores and online platforms;</w:t>
            </w:r>
          </w:p>
        </w:tc>
      </w:tr>
    </w:tbl>
    <w:tbl>
      <w:tblPr>
        <w:tblW w:w="3441" w:type="dxa"/>
        <w:jc w:val="left"/>
        <w:tblInd w:w="0" w:type="dxa"/>
        <w:tblCellMar>
          <w:top w:w="0" w:type="dxa"/>
          <w:left w:w="0" w:type="dxa"/>
          <w:bottom w:w="0" w:type="dxa"/>
          <w:right w:w="0" w:type="dxa"/>
        </w:tblCellMar>
      </w:tblPr>
      <w:tblGrid>
        <w:gridCol w:w="124"/>
        <w:gridCol w:w="181"/>
        <w:gridCol w:w="31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31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decreased demand for such products;</w:t>
            </w:r>
          </w:p>
        </w:tc>
      </w:tr>
    </w:tbl>
    <w:tbl>
      <w:tblPr>
        <w:tblW w:w="3291" w:type="dxa"/>
        <w:jc w:val="left"/>
        <w:tblInd w:w="0" w:type="dxa"/>
        <w:tblCellMar>
          <w:top w:w="0" w:type="dxa"/>
          <w:left w:w="0" w:type="dxa"/>
          <w:bottom w:w="0" w:type="dxa"/>
          <w:right w:w="0" w:type="dxa"/>
        </w:tblCellMar>
      </w:tblPr>
      <w:tblGrid>
        <w:gridCol w:w="124"/>
        <w:gridCol w:w="181"/>
        <w:gridCol w:w="298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98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damage to our business reputation;</w:t>
            </w:r>
          </w:p>
        </w:tc>
      </w:tr>
    </w:tbl>
    <w:tbl>
      <w:tblPr>
        <w:tblW w:w="5376" w:type="dxa"/>
        <w:jc w:val="left"/>
        <w:tblInd w:w="0" w:type="dxa"/>
        <w:tblCellMar>
          <w:top w:w="0" w:type="dxa"/>
          <w:left w:w="0" w:type="dxa"/>
          <w:bottom w:w="0" w:type="dxa"/>
          <w:right w:w="0" w:type="dxa"/>
        </w:tblCellMar>
      </w:tblPr>
      <w:tblGrid>
        <w:gridCol w:w="124"/>
        <w:gridCol w:w="181"/>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0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substantial monetary awards to customers or other claimants;</w:t>
            </w:r>
          </w:p>
        </w:tc>
      </w:tr>
    </w:tbl>
    <w:tbl>
      <w:tblPr>
        <w:tblW w:w="1686" w:type="dxa"/>
        <w:jc w:val="left"/>
        <w:tblInd w:w="0" w:type="dxa"/>
        <w:tblCellMar>
          <w:top w:w="0" w:type="dxa"/>
          <w:left w:w="0" w:type="dxa"/>
          <w:bottom w:w="0" w:type="dxa"/>
          <w:right w:w="0" w:type="dxa"/>
        </w:tblCellMar>
      </w:tblPr>
      <w:tblGrid>
        <w:gridCol w:w="124"/>
        <w:gridCol w:w="181"/>
        <w:gridCol w:w="13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38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loss of sales; or</w:t>
            </w:r>
          </w:p>
        </w:tc>
      </w:tr>
    </w:tbl>
    <w:tbl>
      <w:tblPr>
        <w:tblW w:w="8436" w:type="dxa"/>
        <w:jc w:val="left"/>
        <w:tblInd w:w="0" w:type="dxa"/>
        <w:tblCellMar>
          <w:top w:w="0" w:type="dxa"/>
          <w:left w:w="0" w:type="dxa"/>
          <w:bottom w:w="0" w:type="dxa"/>
          <w:right w:w="0" w:type="dxa"/>
        </w:tblCellMar>
      </w:tblPr>
      <w:tblGrid>
        <w:gridCol w:w="124"/>
        <w:gridCol w:w="181"/>
        <w:gridCol w:w="81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1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termination of existing agreements by our partners and potential partners failing to partner with us.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lack of requisite approvals, licenses or permits applicable to our online retail business may have a material and adverse impact on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online retail business is subject to governmental supervision and regulation by the relevant PRC governmental authorities, including but not limited to the Ministry of Commerce and the MIIT. Together, these government authorities promulgate and enforce regulations that cover many aspects of the operation of the online retail industry, including entry into the industry, the scope of permissible business activities, licenses and permits for various business activities, and foreign investment. If the PRC government considers that we were operating without the proper approvals, licenses or permits,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and adverse effect on our results of operations. In addition, if we are unable to maintain and renew one or more of our licenses and certificates, or making appropriate reports or filings, we may be subject to sanctions and enforcement actions, which could adversely and materially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conduct sales and marketing activities cost-effectively, our business, financial condition and results of operations may be materially and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on our sales and marketing efforts to enlarge our customer base and drive the spending of our customers. In particular, effective sales and marketing activities are crucial to the expansion and success of our scenario-based retail business. Our sales and marketing activities may not be well received by the market and may not result in the levels of sales that we anticipate. We also may not be able to retain or recruit a sufficient number of experienced sales and marketing personnel, or to train newly hired sales and marketing personnel, which we believe is critical to implementing our sales and marketing strategies cost-effectively. Further, sales and marketing approaches and tools in China’s hospitality industry are evolving rapidly. This requires us to continually enhance the effectiveness and efficiency of our sales and marketing activities and experiment with new methods to keep pace with industry developments and customer preferences. Failure to engage in sales and marketing activities in a cost-effective manner may reduce our market share, cause our sales to decline, slow down the growth of our scenario-based retail business, negatively impact our profitability, and materially harm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liable for improper collection, use or appropriation of personal information provided by our customers.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involves collecting and retaining large volumes of internal and customer data, including personal information as our various information technology systems enter, process, summarize and report such data. We also maintain information about various aspects of our operations as well as regarding our employees. The integrity and protection of our customer, employee and company data are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Cybersecurity Law of the PRC, or Cybersecurity Law, which became effective on June 1, 2017. Pursuant to the Cybersecurity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 The Civil Code of the PRC (issued by the PRC National People’s Congress on May 28, 2020 and effective from January 1, 2021) provides main legal basis for privacy and personal information infringement claims under the Chinese civil laws. PRC regulators, including the Cyberspace Administration of China, MIIT, and the Ministry of Public Security have been increasingly focused on regulation in the areas of data security and data protection. The PRC regulatory requirements regarding cybersecurity are constantly evolving. For instance, various regulatory bodies in China, including the Cyberspace Administration of China, the Ministry of Public Security and the SAMR, have enforced data privacy and protection laws and regulations with varying and evolving standards and interpretations. On December 28, 2021, the Cyberspace Administration of China and 12 other relevant PRC government authorities published the amended Cybersecurity Review Measures, which came into effect on February 15, 2022. The final Cybersecurity Review Measures provide that a “network platform operator” that possesses personal information of more than one million users and seeks a listing in a foreign country must apply for a cybersecurity review. Further, the relevant PRC governmental authorities may initiate a cybersecurity review against any company if they determine certain network products, services, or data processing activities of such company affect or may affect national security. As a network platform operator who possesses personal information of more than one million users for purposes of the Cybersecurity Review Measures, we previously had applied for and completed a cybersecurity review with respect to the listing of our ADSs on Nasdaq pursuant to the Cybersecurity Review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10, 2021, the Standing Committee of the National People’s Congress of China, or the SCNPC, promulgated the PRC Data Security Law, which came into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uncertainties remain regarding the interpretation and implementation of these laws and regulations, we cannot assure you that we will comply with such regulations in all respects and we may be ordered to rectify or terminate any actions that are deemed illegal by regulatory authorities. We may also become subject to fines and/or other sanctions which may have material adverse effect on our business,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20, 2021, the SCNPC promulgated the PRC Personal Information Protection Law, or the PIPL, which came into effect in November 2021. In addition to other rules and principles of personal information processing, the PIPL specifically provides rules for processing sensitive personal information. Sensitive personal information refers to personal information that, once leaked or illegally used, could easily lead to the infringement of human dignity or harm to the personal or property safety of an individual, including biometric recognition, religious belief, specific identity, medical and health, financial account, personal whereabouts and other information of an individual, as well as any personal information of a minor under the age of 14. Only where there is a specific purpose and sufficient necessity, and under circumstances where strict protection measures are taken, may personal information processors process sensitive personal information. A personal information processor shall inform the individual of the necessity of processing such sensitive personal information and the impact thereof on the individual’s rights and interests. We may collect sensitive personal information such as ID card photos and personal photos from our customers for purpose of verifying their personal identities when they carry out online check-in or make online reservation with our hotels. As uncertainties remain regarding the interpretation and implementation of the PIPL, we cannot assure you that we will comply with the PIPL in all respects and regulatory authorities may order us to rectify or terminate our current practice of collecting and processing sensitive personal information. We may also become subject to fines and/or other penalties which may have material adverse effect on our business,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take various measures to comply with all applicable data privacy and protection laws and regulations, there is no guarantee that our current security measures and those of our third-party service providers may always be adequate for the protection of our customer, employee or company data; and like all companies, we have experienced data incidents from time to time. In addition, given the size of our customer base and the types and volume of personal data on our system, we may be a particularly attractive target for computer hackers, foreign governments or cyber terrorists. Unauthorized access to our proprietary internal and customer data may be obtained through break-ins, sabotage, breach of our secure network by an unauthorized party, computer viruses, computer denial-of-service attacks, employee theft or misuse, breach of the security of the networks of our third-party service providers, or other misconduct. Because the techniques used by computer programmers who may attempt to penetrate and sabotage our proprietary internal and customer data change frequently and may not be recognized until launched against a target, we may be unable to anticipate these techniques. Unauthorized access to our proprietary internal and customer data may also be obtained through inadequate use of security controls. Any of such incidents may harm our reputation and adversely affect our business and results of operations. In addition, we may be subject to negative publicity about our security and privacy policies, systems, or measurements from time to time.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failure to prevent or mitigate security breaches, cyber-attacks or other unauthorized access to our systems or disclosure of our customers’ data, including their personal information, could result in loss or misuse of such data, interruptions to our service system, diminished customer experience, loss of customer confidence and trust, impairment of our technology infrastructure, and harm our reputation and business, resulting in significant legal and financial exposure and potential lawsuits.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various hospitality industry, health and safety, construction, fire prevention and environmental laws and regulations that may subject us to liability.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Each hotel in our chain must hold a basic business license and a special industry license issued by the local public security bureau and must have hotel operation included in the business scope of their respective business license. In addition, each of our hotels must complete fire prevention safety inspection/commitment with the local public security bureau and obtain hygiene permits and environmental impact assessment approvals. We also need to obtain approvals and make filings for most of our hotel construction projects with fire prevention authorities and construction authorities. Our business also is subject to various health and safety and environmental laws and regulations that affect our operations and conversion activities in the jurisdictions in which we operate, including construction, building, zoning, environmental protection, food safety, public safety, health and sanitary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 small number of our leased hotels have not obtained approvals from or made appropriate filings with applicable fire prevention authorities, construction authorities, environmental protection authorities or public security bureau, and a small number of our leased hotels selling or serving food have not obtained the relevant approvals from health administrations for such activities. As a result of these non-compliance matters, we have been and may be subject to monetary damages, the suspension or disruption of our operations or conversion activities, or other administrative penalties or investigations, which could materially and adversely affect our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we or our employees comply with or will comply with all present and future laws and regulations related to our business, including without limitation to hospitality industry, health, safety, construction, fire prevention and environmental laws and regulations. Such non-compliance may subject us to monetary damages, the imposition of fines or other administrative penalties or investigations against us, or the suspension of our operations or conversion activities, which in turn could materially and adversely affect our financial condition and results of operations. Furthermore, if there are new laws, regulations, policies or guidelines introduced to impose additional regulatory approvals, licenses, permits and requirements, our business may be disrupted and our results of operations may suffer. For example, new regulations could require us to retrofit or modify our hotels or incur other significant expenses. Any failure by us to control the use of, or to adequately restrict the discharge of, hazardous substances in our conversion activities, or otherwise operate in compliance with environmental laws, could subject us to potentially significant monetary damages and fines or suspension of our business operations, which could materially and adversely affect our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Owners of our manachised hotels are subject to these same permit and safety requirements. Although our manachised hotel arrangements require the hotel owners to obtain and maintain all required permits or licenses, we have limited control over the manachised hotel owners. Any failure to obtain and maintain the required permits or licenses may require us to delay opening of a manachised hotel or to forgo or terminate our manachised hotel arrangement, which could harm our brand, result in lost management revenues and subject us to potential indirect liability. Each of the foregoing could materially and adversely affect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Accidents, injuries or prohibited activities in our hotels may adversely affect our reputation and subject us to liability.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inherent risks of accidents, injuries or prohibited activities (such as illegal drug use, gambling, violence or prostitution by guests) taking place in hotels. The occurrence of one or more accidents, injuries or prohibited activities at any of our hotels could adversely affect our safety reputation among guests, harm our brand, decrease our overall occupancy rates, and increase our costs by requiring us to implement additional safety measures. In addition, if accidents, injuries or prohibited activities occur at any of our hotels, we may be held liable for costs or damages and fines. Our current property and liability insurance policies may not provide adequate or any coverage for such losses, and we may be unable to renew our insurance policies or obtain new insurance policies without increases in premiums and deductibles or decreases in coverage levels, or at all.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restaurants operated by our hotels face risks related to instances of food-borne illnesses and other food safety accidents.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hotels directly operate the restaurant located in the hotels. The restaurant business is susceptible to food-borne illnesses and other food safety accidents. We cannot assure you that our internal controls and training will be effective in preventing all food-borne illnesses.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our reliance on third-party food suppliers and distributors increases the risk that food- borne illness incidents could be caused by third-party food suppliers and distributors outside of our control and the risk of multiple locations being affected rather than a single restaurant. New illnesses resistant to any precautions may develop in the future, or diseases with long incubation periods could arise that could give rise to claims or allegations on a retroactive basis. Reports in the media of instances of food-borne illnesses could result in fines and other penalties and, if highly publicized, negatively impact restaurant sales, forcing the closure of some restaurants and affect our customers’ confidence in our hotel business. Furthermore, other illnesses, such as hand, foot and mouth disease or avian influenza, could adversely affect the supply of some of the restaurants’ food products and significantly increase such restaurants’ costs, which may also adversely affect the results of operations of the relevant hotels.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financial and operating performance may be adversely affected by epidemics, adverse weather conditions, natural disasters and other catastrophes.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Losses caused by epidemics, adverse weather conditions, natural disasters and other catastrophes, earthquakes or typhoons, are either uninsurable or too expensive to justify insuring against in China. In the event an uninsured loss or a loss in excess of insured limits occurs, we could lose all or a portion of the capital we have invested in a hotel, as well as the anticipated future revenue from the hotel. In that event, we might nevertheless remain obligated for any financial obligations related to the hotel. Similarly, war (including the potential for war), terrorist activity (including threats of terrorist activity) and travel-related accidents, as well as geopolitical uncertainty and international conflict, may affect travel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affected and our reputation may be harmed.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insurance coverage.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property insurance covers the assets that we own at our leased hotels and the buildings in which our leased hotels operate. We also require our manachised hotel owners to purchase customary insurance policies but they may fail to satisfy these requirements. If we are held liable for amounts and claims exceeding the limits of our insurance coverage or outside the scope of our insurance coverage, our business, results of operations and financial condition may be materially and adversely affected. Even if the amounts and claims are within the limits and scope of our insurance coverage, the insurance provider may not be able to make the compensation payment to us in a timely manner. Any business disruptions or natural disasters may result in us incurring substantial costs and diversion of our corporate and business resources.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or prevent fraud.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audits of our consolidated financial statements included elsewhere in this annual report, we and our independent registered public accounting firm identified certain material weaknesses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material weaknesses identified include:</w:t>
      </w:r>
    </w:p>
    <w:tbl>
      <w:tblPr>
        <w:tblW w:w="10205" w:type="dxa"/>
        <w:jc w:val="left"/>
        <w:tblInd w:w="0" w:type="dxa"/>
        <w:tblCellMar>
          <w:top w:w="0" w:type="dxa"/>
          <w:left w:w="0" w:type="dxa"/>
          <w:bottom w:w="0" w:type="dxa"/>
          <w:right w:w="0" w:type="dxa"/>
        </w:tblCellMar>
      </w:tblPr>
      <w:tblGrid>
        <w:gridCol w:w="124"/>
        <w:gridCol w:w="231"/>
        <w:gridCol w:w="9850"/>
      </w:tblGrid>
      <w:tr>
        <w:trPr/>
        <w:tc>
          <w:tcPr>
            <w:tcW w:w="12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985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company’s lack of sufficient financial reporting and accounting personnel with appropriate knowledge of U.S. GAAP and SEC reporting requirements to properly address complex U.S. GAAP accounting issues and related disclosures in accordance with U.S. GAAP and financial reporting requirements set forth by the SEC; and</w:t>
            </w:r>
          </w:p>
        </w:tc>
      </w:tr>
    </w:tbl>
    <w:tbl>
      <w:tblPr>
        <w:tblW w:w="10205" w:type="dxa"/>
        <w:jc w:val="left"/>
        <w:tblInd w:w="0" w:type="dxa"/>
        <w:tblCellMar>
          <w:top w:w="0" w:type="dxa"/>
          <w:left w:w="0" w:type="dxa"/>
          <w:bottom w:w="0" w:type="dxa"/>
          <w:right w:w="0"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98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our company’s lack of sufficient trained and knowledgeable resources to execute its responsibilities with respect to internal control over financial reporting. As a consequence, we did not design and implement effective process-level controls activities for certain financial statement accounts and disclosures, including impairment of long-lived assets for leased hotels, share-based compensation and income tax.</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identification of the material weaknesses and other control deficiencies, we have taken measures and plan to continue to take measures to remediate these deficiencies. See “Item 15. Controls and Procedures.” However, the implementation of these measures may not fully address such weaknesses and deficiencies in our internal control over financial reporting.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public company in the United States that are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ending December 31, 2023.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our reporting obligations as a public company may place a significant strain on our management, operational and financial resources and systems for the foreseeable future. We may be unable to timely complete our evaluation testing and any required remediation.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net profit could be adversely affected by share-based compensation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2017, our PRC subsidiary Atour Shanghai adopted the 2017 Share Incentive Plan, or the 2017 PRC Plan. In 2021, we adopted the Public Company Share Incentive Plan, or the Public Company Plan, at the Cayman Islands’ level in preparation for our initial public offering in November 2022, to replace the 2017 PRC Plan. The purpose of the Public Company Plan is to recognize and reward participants for their contribution to our company, to attract suitable personnel and to provide incentives to them to remain with and further contribute to us. See “Item 6. Directors, Senior Management and Employees—6. B. Compensation—Share Incentive Plan—Public Company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Public Company Plan, the maximum aggregate number of Class A ordinary shares we are authorized to issue pursuant to equity awards granted thereunder, subject to certain adjustments pursuant to the terms thereof, is 51,029,546 Class A ordinary shares, which have been reserved for issuance pursuant to the Public Company Plan accordingly. As of the date of March 30, 2023, a total of 25,477,205 share options corresponding to underlying 25,477,205 Class A ordinary shares had been granted to the participants under the Public Company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2020 and 2021, we did not recognize any share-based compensation expenses for the share options granted as such awards contain a performance condition such that the awards vest upon the completion of a Qualified IPO defined under our share incentive plans and is not considered probable until the event happens. Upon the completion of our initial public offering in November 2022, we immediately recognized share-based compensation expenses of RMB96.6 million with respect to the share options vested cumulatively. For the year ended December 31, 2022, we recognized RMB163.2 million (US$23.7 million) of share-based compensation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granting of share-based awards is of significant importance to our ability to attract and retain key personnel and employees, and we expect to grant additional share-based awards to our employees in the future. As a result, our expenses associated with share-based awards may increase, which may have an adverse effect on our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comply with PRC laws and regulations related to labor and employee benefits may subject us to penalties or additional cost.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Companies operating in China are required to comply with various laws and regulations related to labor and employment benefits. For example, companies are required to participate in various government- sponsored employee benefit plans, including certain social insurance, housing provident funds and other welfare-oriented payment obligations, and contribute to the plans in amounts equal to certain percentages of salaries, including bonuses and allowances, of employees up to a maximum amount specified by the local government from time to time at locations where our employees are based. The requirement of employee benefit plans has not been implemented consistently by the local governments in China given the different levels of economic development in different locations. Apart from that, if a company intends to adopt flexible working hour arrangement and comprehensive working hour scheme, it shall fulfill the requirements in relevant regulations, and make filings with labor authorities, or the company will be subject to penalties and may be required to pay extra fees to its employees.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assure you that we have complied or will be able to comply with all labor-related law and regulations, including those relating to obligations to make social insurance payments, contribute to the housing provident funds, as well as make all filing for comprehensive working hour scheme. Besides, to efficiently administrate the contribution of employment benefit plans of our employees in some cities, we engage third-party agents to make the contribution for our employees. Our failure to make contributions to various employee benefit plans and in complying with applicable PRC labor-related laws may subject us to fines, penalties, government investigations or labor disputes and we could be required to make up the contributions for these plans as well as to pay late fees and fines, which may adversely affect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entered into, and may in the future enter into, strategic transactions to complement our organic growth which may not be successful.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and may in the future enter into, strategic transactions to complement our organic growth, including pursuing selective acquisitions, asset dispositions, joint venture and other types of alliances with business partners. Our potential acquisition and investment targets include high quality manachised hotels, boutique regional hotels and influential lifestyle brands. If we decide to pursue strategic transactions, we may not be successful in identifying suitable opportunities or completing such transactions or investments, and our competitors may be more effective in executing and closing strategic arrangements in competitive bid situations than us. Our ability to enter into and complete strategic transactions may be restricted by, or subject to, various approvals under PRC law or may not otherwise be possible, may result in a possible dilutive issuance of our securities, or may require us to seek additional financing. We also may experience difficulties integrating acquired operations, services, corporate cultures and personnel into our existing business and operations. Strategic transactions may also expose us to potential risks, including risks associated with unforeseen or hidden liabilities, the diversion of resources from our existing business, and the potential loss of, or harm to, relationships with our employees or guests as a result of our integration of new businesses. In addition, following completion of strategic transactions, our management and resources may be diverted from their core business activities due to the integration process, which may harm the effective management of our business. Furthermore, we may not achieve the expected level of any synergy benefits on integration and/or the actual cost of delivering such benefits may exceed the anticipated cost. Any of these factors may have an adverse effect on our competitive position, results of operations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require significant capital to fund our operations, growth and technological investments. If we cannot obtain sufficient capital on acceptable terms, our business, financial condition and prospects may suffer.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require significant capital and resources for our operations and continued growth. We expect to make significant investments in the expansion and operations of our hotel network and lifestyle brand portfolio, and the development of our technological capabilities, which may increase our net cash used in operating activities. Our sales and marketing expenses may also increase to retain existing customers and attract new customers.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obtain additional capital in the future is subject to a number of uncertainties, including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execute our growth strategies, and our business, financial condition and prospects may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access funds to maintain our hotels’ condition and appearance, or if our franchisees fail to make investments necessary to maintain or improve their properties, the attractiveness of our hotels and our reputation could suffer and our hotel occupancy rates may decline.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maintain our hotels’ condition and attractiveness, ongoing renovations and other leasehold improvements, including periodic replacement of furniture, fixtures and equipment, are required. In particular, we manachise properties leased or owned by franchisees under the terms of franchise and management agreements, substantially all of which require our franchisees to comply with standards that are essential to maintaining the relevant product integrity and our reputation. We depend on our franchisees to comply with these requirements by maintaining and improving properties through investments, including investments in furniture, fixtures, amenities and personnel. Such investments and expenditures require ongoing funding and, to the extent we or our franchisees cannot fund these expenditures from existing cash or cash flow generated from operations, we or our franchisees must borrow or raise capital through financing. We or our franchisees may not be able to access capital and our franchisees may be unwilling to spend available capital when necessary, even if required by the terms of our franchise and management agreements. If we or our franchisees fail to make investments necessary to maintain or improve the properties, our hotel’s attractiveness and reputation could suffer, we could lose market share to our competitors and our RevPAR may decline.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Increasing focus on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and public advocacy groups have been increasingly focused on environment, social and governance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PRC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the ADSs could be materially and adversely effected.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legal and administrative proceedings in the ordinary course of our business. Any adverse outcome of these legal proceedings could have a material adverse effect on our business, results of operations and financial condition.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our shareholders, directors, officers, employees or affiliates are or may be involved in various legal and administrative proceedings in the ordinary course of business from time to time, involving governmental authorities, competitors, business partners, customers and employees, among others. Claims arising out of actual or alleged violations of law could be asserted under a variety of laws, including but not limited to intellectual property laws, contract laws, tort laws, unfair competition laws, labor and employment laws, privacy laws, tax laws, foreign exchange laws, and property laws. No assurances can be given as to the outcome of any pending legal and administrative proceedings, which could have a material adverse effect on our business, results of operations and financial condition. Even if we and our related parties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reliefs, and criminal and civil liabilities and/or penalties.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third-party payment processing-related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accept payments through major third-party online payment channels in China, as well as bank transfers and credit cards. We may also be susceptible to fraud, user data leakage and other illegal activities in connection with the various payment methods we offer. In addition, our business depends on the billing, payment and escrow systems of the third-party payment service providers to maintain accurate records of payments by customers and collect such payments. If the quality, utility, convenience or attractiveness of these payment processing and escrow services declines, or if we have to change the pattern of using these payment services for any reason, the attractiveness of our company could be materially and adversely affected. We are also subject to various rules, regulations and requirements, regulatory or otherwise, governing electronic funds transfers which could change or be reinterpreted to make it difficult or impossible for us to comply. If we fail to comply with these rules or requirements, we may be subject to fines and higher transaction fees and become unable to accept the current online payments solutions from our customers, and our business, financial condition and results of operations could be materially and adversely affected. Business involving online payment services is subject to a number of risks that could materially and adversely affect third-party online payment service providers’ ability to provide payment processing and escrow services to us, including:</w:t>
      </w:r>
    </w:p>
    <w:tbl>
      <w:tblPr>
        <w:tblW w:w="7251" w:type="dxa"/>
        <w:jc w:val="left"/>
        <w:tblInd w:w="0" w:type="dxa"/>
        <w:tblCellMar>
          <w:top w:w="0" w:type="dxa"/>
          <w:left w:w="0" w:type="dxa"/>
          <w:bottom w:w="0" w:type="dxa"/>
          <w:right w:w="0" w:type="dxa"/>
        </w:tblCellMar>
      </w:tblPr>
      <w:tblGrid>
        <w:gridCol w:w="124"/>
        <w:gridCol w:w="181"/>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9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dissatisfaction with these online payment services or decreased use of their services;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increasing competition, including from other established Chinese internet companies, payment service providers and companies engaged in other financial technology services;</w:t>
            </w:r>
          </w:p>
        </w:tc>
      </w:tr>
    </w:tbl>
    <w:tbl>
      <w:tblPr>
        <w:tblW w:w="9936" w:type="dxa"/>
        <w:jc w:val="left"/>
        <w:tblInd w:w="0" w:type="dxa"/>
        <w:tblCellMar>
          <w:top w:w="0" w:type="dxa"/>
          <w:left w:w="0" w:type="dxa"/>
          <w:bottom w:w="0" w:type="dxa"/>
          <w:right w:w="0" w:type="dxa"/>
        </w:tblCellMar>
      </w:tblPr>
      <w:tblGrid>
        <w:gridCol w:w="124"/>
        <w:gridCol w:w="181"/>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6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changes to rules or practices applicable to payment systems that link to third-party online payment service providers;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breach of customers’ personal information and concerns over the use and security of information collected from our customers;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service outages, system failures or failures to effectively scale the system to handle large and growing transaction volumes;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increasing costs to third-party online payment service providers, including fees charged by banks to process transactions through online payment channels, which would also increase our costs of revenues;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failure to manage funds accurately or loss of funds, whether due to employee fraud, security breaches, technical errors or otherwise.</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Seasonality of our business and national or regional special events may cause fluctuations in our results of operations and financial condition, and adversely affect our profitability.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hospitality industry is subject to fluctuations in revenues due to seasonality. The periods during which our properties experience higher revenues vary from property to property, depending principally upon their location, type of property and competitive mix within the specific location. Generally, the first quarter, in which both the New Year and Spring Festival holidays fall, accounts for a lower percentage of our annual revenues than the other quarters of the year. In addition, certain special events, such as large-scale exhibition, concerts or sports events, may increase the demand for our hotels significantly as such special events may attract travelers into and within the regions in China where we operate hotels. Based on historical results, we generally expect our net revenues generated from our hotel offerings to be higher in the remaining three quarters of each year than in the first quarter due to general travel and consumption patterns in China.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advertising, promotional and branding content may subject us to penalties and other administrative actions.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PRC advertising laws and regulations, we are obligated to monitor our advertising, promotional and branding content to ensure that such content is true and accurate and in full compliance with applicable laws and regulations. Violation of these laws and regulations may subject us to penalties, including fines, confiscation of our advertising income, orders to cease dissemination of the advertisements and orders to publish an announcement correcting the misleading information. In circumstances involving serious violations by us, PRC government authorities may force us to terminate our advertising operations or revoke our licenses.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cannot assure you that all the content contained in our advertisements or other branding content or materials is true and accurate as required by, and complies in all aspects with, the advertising laws and regulations, especially given the uncertainty in the interpretation of these PRC laws and regulations. We conduct certain advertising, promotional and branding activities through social media and other online channels, and relevant content may also be subject to these PRC advertising laws and regulations. If we are found to be in violation of applicable PRC advertising laws and regulations, we may be subject to penalties and our reputation may be harmed, which may negatively affect our business, financial condition, results of operations and prospects.</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China’s economic, political or social conditions or government policies could have a material adverse effect on our business, financial condition and results of operations.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conduct all of our operations in China and all of our revenue is derived from our operations in China. Accordingly, our results of operations and prospects are, to a significant degree, subject to economic, political and legal developments in China. The economy of China differs from the economies of most developed countries in many respects, including its level of development, its growth rate and its control over foreign exchange. In addition, the PRC government continues to play a significant role in regulating industrial development. It also has significant influence over China’s economic growth through the allocation of resources, controlling payment of foreign currency- denominated obligations, setting monetary policies, restricting the inflow and outflow of foreign capital and providing preferential treatment to particular industries or companies. The PRC government also has significant authority to exert influence on the ability of a China-based company, such as our company, to conduct its business.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global macroeconomic environment faces significant challenges in the near-term future. For example, there is considerable uncertainty about the short and long-term economic impact of the monetary and fiscal policies adopted by the central banks and government authorities of some of the world’s leading economies, including but not limited to the United States and China. There are also material concerns about the current and future relationship between the United States and China. Specifically, it is possible that relations between these two countries may deteriorate further. Deterioration in political conditions and abrupt changes in Sino-U.S. relations are difficult to predict and could adversely affect China’s overall economic and market conditions and consequently our business, operating results and financial condition. Moreover, any ongoing controversies between the United States and China, whether or not related to our business, could cause investors to be unwilling to hold or buy our ADSs and consequently cause the trading price of our ADSs to decline. The various economic and policy measures enacted by the PRC government to forestall economic downturns or bolster China’s economic growth could materially affect our business. Any adverse change in the economic conditions in China, policies of the PRC government or laws and regulations in China could have a material adverse effect on the overall economic growth of China and, in turn, our business.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Uncertainties regarding the enforcement of laws, and changes in laws and regulations in China could adversely affect us and limit the legal protections available to you and us.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operating subsidiaries are incorporated under and governed by the laws of the PRC. In 1979, the PRC government began to promulgate a comprehensive system of laws and regulations governing economic matters in general, such as foreign investment, corporate organization and governance, commerce, taxation and trade. As a significant part of our business is conducted in China, our operations are principally governed by PRC laws and regulations. The overall effect of legislation over the past three decades has significantly enhanced the protections afforded to various forms of foreign investments in China. In particular, the PRC legal system is a civil law system based on written statutes. Prior court decisions under the civil law system may be cited for reference, but have limited precedential value. However, since the PRC legal system continues to evolve rapidly, the interpretations of many laws, regulations and rules and enforcement of these laws, regulations and rules involve uncertainties, which may limit legal protections available to us. Uncertainties due to evolving laws and regulations could also impede the ability of a China-based company, such as our company, to obtain or maintain permits or licenses required to conduct business in China. In the absence of required permits or licenses, governmental authorities could impose material sanctions or penalties on us. In addition, some regulatory requirements issued by certain PRC government authorities may not be consistently applied by other PRC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difficult to predict the outcome of administrative and court proceedings and the level of legal protection we enjoy. Such uncertainties, including uncertainty over the scope and effect of our contractual, property (including intellectual property) and procedural rights, could materially and adversely affect our business and impede our ability to continue our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if China adopts more stringent standards with respect to environmental protection or corporate social responsibilities, we may incur increased compliance costs or become subject to additional restrictions in our operations. Intellectual property rights and confidentiality protections in China may also not be as effective as in the United States or other countries. In addition, we cannot predict the effects of future developments in the PRC legal system on our business operations, including the promulgation of new laws, or changes to existing laws or the interpretation or enforcement thereof. These uncertainties could limit the legal protections available to us and our investors, including you. Moreover, any litigation in China may be protracted and result in substantial costs and diversion of our resources and management attention.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has significant oversight over our business and may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recently indicated an intent to exert more oversight and control over securities offerings and other capital markets activities that are conducted overseas and foreign investment in China-based companies like us. Any such influence on our business operations or action to exert more oversight and control over securities offerings and other capital markets activities, once taken by the PRC government, could adversely affect our business, financial condition and results of operations and the value of our Class A ordinary shares or the ADSs, or significantly limit or completely hinder our ability to continue to offer securities to investors and cause the value of such securities to significantly decline or in extreme cases, become worthless.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Uncertainties exist with respect to the enactment timetable, interpretation and implementation of the laws and regulations with respect to our online platform business operation.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online platform business is subject to various internet-related laws and regulations. These internet-related laws and regulations are relatively new and evolving, and their enactment timetable, interpretation and implementation involve certain uncertainties.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For example, On February 7, 2021, the Anti-monopoly Commission of the State Council promulgated Guidelines to Anti-Monopoly in the Field of Platform Economy, or the Anti-Monopoly Guidelines for Platform Economy. The Anti-Monopoly Guidelines for Platform Economy provides operational standards and guidelines for identifying certain internet platforms’ abuse of market dominant position which are prohibited to restrict unfair competition and safeguard users’ interests, including without limitation, prohibiting personalized pricing using big data and analytics, selling products below cost without reasonable causes, actions or arrangements seen as exclusivity arrangements, using technology means to block competitors’ interface, using bundle services to sell services or products. In addition, internet platforms’ compulsory collection of user data may be viewed as abuse of dominant market position that may have the effect to eliminate or promulgated restrict competition. In August 2021, the SCNPC officially promulgated the Personal Information Protection Law, which became effective in November 2021. The Personal Information Protection Law provides the basic regime for personal information protection, including without limitation, stipulating an expanded definition of personal information, providing a long-arm jurisdiction in cross-border scenarios, emphasizing individual rights, and prohibiting rampant infringement of personal information, such as stealing, selling, or secretly collecting personal information. In addition, on June 10, 2021, the SCNPC promulgated the PRC Data Security Law, which came into effect in September 2021. The Security Law, among others, provides for security review procedures for data activities that may affect national security.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On August 31, 2018, the SCNPC promulgated the E-commerce Law, which came into effect on January 1, 2019. The E-commerce Law imposes a series of requirements on e-commerce operators including e-commerce platform operators, merchants operating on the platform and the individuals and entities carrying out business online. The platform governance measures we adopt in response to the enhanced regulatory requirements may fail to meet these requirements and may lead to penalties or our loss of merchants to those platforms, or to complaints or claims made against us by customers on our platforms.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there are uncertainties regarding the enactment timetable, interpretation and implementation of the existing and future internet-related laws and regulations, we cannot assure you that our business operations will comply with such regulations in all respects and we may be ordered to terminate certain of our business operations that are deemed illegal by the regulatory authorities and become subject to fines and/or other sanctions.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Trading in our securities may be prohibited under the HFCAA if the PCAOB determines that it is unable to inspect or investigate completely our auditor, and as a result, U.S. national securities exchanges, such as Nasdaq, may determine to delist our ADSs.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independent registered public accounting firm that issues the audit report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without the approval of the Chinese authorities.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recent years, U.S. regulatory authorities have continued to express their concerns about challenges in their oversight of financial statement audits of U.S.-listed companies with significant operations in China. More recently, as part of a continued regulatory focus in the United States on access to audit and other information currently protected by national law, in particular China’s, the United States enacted the Holding Foreign Companies Accountable Act, or the HFCAA, in December 2020. Trading in our securities on U.S. markets, including Nasdaq, may be prohibited under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or the 2021 Determinations, including our auditor.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do not expect to be identified as a “Commission-Identified Issuer” under the HFCAA for the fiscal year ended December 31, 2022 after we file this annual report.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If we were so identified for two consecutive years, trading in our securities on U.S. markets would be prohibited. This would substantially impair your ability to sell or purchase the ADSs when you wish to do so. Furthermore, such trading prohibition would significantly affect our ability to raise capital on terms acceptable to us, or at all, which would have a material adverse impact on our business, financial condition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the SEC requirements could ultimately lead to the delisting of the ADSs from the Nasdaq or the termination of the registration of our Class A ordinary shares under the Securities Exchange Act of 1934, or both, which would substantially reduce or effectively terminate the trading of the ADSs in the United States.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foreign judgments or bringing actions in China against us or our management based on foreign laws.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exempted company with limited liability incorporated under the laws of the Cayman Islands. We conduct all of our operations in China. In addition, all our senior executive officers reside within China for a significant portion of the time and all of them are PRC nationals. As a result, it may be difficult for our shareholders to effect service of process upon us or those persons inside China.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recognition and enforcement of foreign judgments are basically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Cayman Islands holding company and we rely principally on dividends and other distributions on equity from our PRC subsidiaries for our cash and financing requirements, including the funds necessary to pay dividends and other cash distributions to our shareholders and services of any debt we may incur. Our PRC subsidiaries’ ability to distribute dividends is based upon its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These reserves are not distributable as cash dividends. If our PRC subsidiaries incur debt on their own behalf in the future, the instruments governing the debt may restrict their ability to pay dividends or make other payments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address the persistent capital outflow and the RMB’s depreciation against the U.S. dollar, the People’s Bank of China and the State Administration of Foreign Exchange, or SAFE, have implemented a series of capital control measures since 2016, including stricter vetting procedures for China-based companies to remit foreign currency for overseas acquisitions, dividend payments and shareholder loan repayments. For instance, the Circular on Further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 resolutions of partners), original tax filing form and audited financial statements of such domestic enterprise based on the principle of genuine transaction. The PRC government may strengthen its capital controls from time to time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Enterprise Income Tax Law and its implementation rules provide that a withholding tax at a rate of 10% will be applicable to dividends payable by Chinese companies to non-PRC resident enterprises unless reduced under treaties or arrangements between the PRC central government and governments of other countries or regions where the non-PRC resident enterprises are tax resident.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custodians or authorized users of our controlling non-tangible assets, including chops and seals, may fail to fulfill their responsibilities, or misappropriate or misuse these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PRC law, legal documents for corporate transactions, including agreements and contracts, are executed using the chop or seal of the signing entity or with the signature of a legal representative whose designation is registered and filed with SAMR. A company chop or seal may serve as the legal representation of the company towards third parties even when unaccompanied by a signature.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 of loans to and direct investment in PRC entities by offshore holding companies and governmental control of currency conversion may restrict or delay us from using the proceeds of our initial public offering to make loans or additional capital contributions to our PRC subsidiaries, which could adversely affect our liquidity and our ability to fund and expand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or FIEs, in China, capital contributions to our PRC subsidiaries are subject to registration with SAMR or its local counterpart and registration with a local bank authorized by SAFE. In addition, (i) any foreign loan procured by our PRC subsidiaries is required to be registered with SAFE or its local branches and (ii) any of our PRC subsidiaries may not procure loans which exceed the difference between its total investment amount and registered capital or, as an alternative, they may only procure loans subject to the calculation approach and limitation as provided by the People’s Bank of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30, 2015, the SAFE promulgated the Circular on Reforming the Management Approach Regarding the Foreign Exchange Capital Settlement of Foreign-Invested Enterprises, or SAFE Circular 19, which took effect as of June 1, 2015 and was amended on December 30, 2019.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The SAFE issued the Circular on Reforming and Regulating Policies on the Control over Foreign Exchange Settlement of Capital Accounts, or SAFE Circular 16, effective on June 9,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On October 23, 2019, SAFE further issued the Circular of the State Administration of Foreign Exchange on Further Promoting the Facilitation of Cross-Border Trade and Investment, or the Circular 28, which took effect on the same day. Circular 28 allows non-investment foreign- invested enterprises to use their capital funds to make equity investments in China as long as such investments do not violate then 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As this circular is relatively new, there remains uncertainty as to its interpretation and application and any other future foreign exchange-related rules. Violations of these circulars could result in severe monetary or other penalties.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an adverse effect on our results of operations and the value of your investment.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political and economic conditions in China and by China’s foreign exchange policies. Since June 2010, the renminbi has fluctuated against the U.S. dollar, at times significantly and unpredictably. Since October 1, 2016, renminbi has joined the International Monetary Fund’s basket of currencies that make up the Special Drawing Right (SDR)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remains significant international pressure on the Chinese government to adopt a flexible currency policy to allow the renminbi to appreciate against the U.S. dollar. Significant revaluation of the RMB may have a material adverse effect on your investment. All of our net revenues and costs are denominated in renminbi. Any significant revaluation of RMB may adversely affect our revenues, earnings and financial position, and the value of, and any dividends payable on, the ADSs in U.S. dollars. To the extent that we need to convert U.S. dollars into renminbi for capital expenditures and working capital and other business purposes,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the ADSs, and if we decide to convert RMB into U.S. dollars for the purpose of making payments for dividends on our Class A ordinary shares or ADSs, strategic acquisitions or investments or other business purposes, appreciation of the U.S. dollar against the RMB would have a negative effect on the U.S. dollar amount available to 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Very limited hedging options are available in China to reduce our exposure to exchange rate fluctuations. To date, we have not entered into any hedging transactions in an effort to reduce our exposure to foreign currency exchange risk. While we may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 and affect the value of your investment.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imposes controls on the convertibility of the renminbi into foreign currencies and, in certain cases, the remittance of currency out of China. We receive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Access to foreign currencies for current account transactions may be further restricted in the future as the applicable laws, regulations and policies evolve. If the foreign exchange control system prevents us from obtaining sufficient foreign currencies to satisfy our foreign currency demands, we may not be able to pay dividends in foreign currencies to our shareholders, including holders of the ADSs.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PRC regulations may make it more difficult for us to pursue growth through acquisitions.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Among other things, the Regulations on Mergers and Acquisitions of Domestic Enterprises by Foreign Investors, or the M&amp;A Rules, adopted by six PRC regulatory agencies in 2006 and amended in 2009, establish additional procedures and requirements that could make merger and acquisition activities by foreign investors more time-consuming and complex. Such regulation requires, among other things, that the PRC Ministry of Commerce, or the MOFCOM, under certain circumstances, be notified in advance of any change- of-control transaction in which a foreign investor takes control of an affiliated PRC domestic enterprise. Moreover, the Anti-Monopoly Law requires that the SAMR should be notified in advance of any concentration of undertaking if certain thresholds are triggered. Transactions which are deemed concentrations and involve parties with specified turnover thresholds must be cleared by the SAMR before they can be completed. In addition, the PRC national security reviews rules which became effective in September 2011 requiring mergers and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and the SAMR, may delay or inhibit our ability to complete such transactions, which could affect our ability to expand our business or maintain our market share.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regulations relating to offshore investment activities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SAFE issued Circular on Several Issues concerning Foreign Exchange Administration for Domestic Residents to Engage in Financing and in Return Investments via Overseas Special Purpose Companies, or Circular 75, on October 21, 2005, which became effective on November 1, 2005. Under Circular 75, prior registration with the local SAFE branch is required for PRC residents to establish or to control an offshore company for the purposes of financing that offshore company with assets or equity interests in an onshore enterprise located in the PRC. In July 2014, SAFE promulgated the Circular on Relevant Issues Concerning Foreign Exchange Control on Domestic Residents’ Offshore Investment and Financing and Roundtrip Investment Through Special Purpose Vehicles, or SAFE Circular 37, which replaced the Circular 75. SAFE Circular 37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SAFE Circular 37 is applicable to our shareholders who are PRC residents and may be applicable to any offshore acquisitions that we make in the future. See “Item 4. Information on The Company—4.B. Business Overview—Regulation—Regulations on Offshore Financing”.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committed to complying with and to ensuring that our shareholders and beneficial owners who are subject to these regulations will comply with the relevant SAFE rules and regulations. However, due to inherent uncertainty in the implementation of the regulatory requirements by the PRC authorities, such registration might not be always practically available in all circumstances as provided in those regulations.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requested shareholders or beneficial owners who directly or indirectly hold shares in our Cayman Islands holding company and are known to us as being PRC residents to complete their registration with or to obtain approval by the local SAFE, the National Development and Reform Commission, or the NDRC, or MOFCOM branches. However, we may not be informed of the identities of all the PRC individuals or entities holding direct or indirect interest in our company, nor can we compel our beneficial owners to comply with the SAFE registration requirements. As a result, we cannot assure you that all of our shareholders or beneficial owners who are PRC residents have complied with, and will in the future make, obtain or update any applicable registrations or approvals required by SAFE, NDRC and MOFCOM regulations. Any failure or inability by such shareholders, beneficial owners or our subsidiaries to comply with SAFE, NDRC and MOFCOM regulations may subject us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SAFE Circular 37, PRC residents who participate in share incentive plans in overseas non- publicly-listed companies may submit applications to SAFE or its local branches for the foreign exchange registration with respect to offshore special purpose companies. In February 2012, SAFE promulgated the Notices on Issues Concerning the Foreign Exchange Administration for Domestic Individuals Participating in Stock Incentive Plan of Overseas Publicly Listed Company, or the SAFE Circular 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“Item 4. Information on The Company—4.B. Business Overview—Regulation—Regulations on Employee Share Option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State Administration of Taxation, or SAT, has issued circulars concerning employee share options or restricted shares. Under these circulars, employees working in the PRC who exercise share options, or whose restricted shares or restricted share units vest, will be subject to PRC individual income tax. Our PRC subsidiaries have obligations to file documents related to employee share options or restricted shares with relevant tax authorities and to withhold individual income taxes of those employees related to their share options, restricted shares or restricted share units. In addition, the sales of the ADSs or shares held by such PRC individual employees after their exercise of the options, or the vesting of the restricted shares or restricted share units, are also subject to PRC individual income tax. If the employees fail to pay, or the PRC subsidiaries fail to withhold, their income taxes according to relevant laws, rules and regulations, the PRC subsidiaries may face sanctions imposed by the tax authorities or other PRC government authorities. See “Item 4. Information on The Company—4.B. Business Overview—Regulation—Regulations on Employee Share Option Plans.”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we are classified as a PRC resident enterprise for PRC enterprise income tax purposes, such classification could result in unfavorable tax consequences to us and our non-PRC shareholders and ADS holders.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a circular, known as SAT Circular 82, and was amended on 2017,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senior management and core management departments in charge of its daily operations function have their presence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not less than half of the enterprise’s directors or senior management with voting rights habitually reside in the PRC.</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will be subject to PRC enterprise income tax on our worldwide income at the rate of 25%. Furthermore, we will be required to withhold a 10% withholding tax from dividends we pay to our shareholders (including our ADS holders) that are non-resident enterprises. In addition, non-resident enterprise shareholders (including our ADS holders) may be subject to PRC tax at a rate of 10% on gains realized on the sale or other disposition of ADSs or Class A ordinary shares, if such gain is treated as derived from a PRC source. Furthermore, if we are deemed a PRC resident enterprise, dividends paid to our non-PRC individual shareholders (including our ADS holders) and any gain realized on the sale or other disposition of ADSs or Class A ordinary shares by such shareholders (including ADS holders) may be subject to PRC tax at a rate of 20% (which in the case of dividends may be withheld at source). These rates may be reduced by an applicable tax treaty, but it is unclear whether non-PRC shareholders (including ADS holders) of our company would, in practice, be able to obtain the benefits of any tax treaties between their country of tax residence and the PRC in the event that we are treated as a PRC resident enterprise. Any such tax may reduce the returns on your investment in the ADSs or Class A ordinary shares.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PRC resident enterprises by their non-PRC holding companies.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On October 17, 2017, the SAT issued the Public Notice on Issues Relating to Withholding at Source of Income Tax of Non-resident Enterprises, or SAT Bulletin 37, which came into effect on December 1, 2017. The SAT Bulletin 37 further clarifies the practice and procedure of the withholding of non-resident enterprise income tax.</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bulletins, or to establish that our company should not be taxed under these bulletins, which may have a material adverse effect on our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 on information disseminated over the internet in China may adversely affect our business and reputation and subject us to liability for information displayed on our website.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has adopted regulations governing the distribution of news and other information over the internet. Under these regulations, internet content providers and internet publishers are prohibited from posting or displaying over the internet content that, among other things, violates PRC laws and regulations,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information displayed on or linked to the websites. If our self-owned online store or content is found to be in violation of any such requirements, we may be penalized by relevant authorities, and our operations or reputation could be adversely affected.</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Risks Related to Our ADSs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will incur additional costs as a result of being a public company.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public company and expect to incur significant legal, accounting and other expenses that we did not incur as a private company. These additional costs could negatively affect our financial results. In addition, changing laws, regulations and standards relating to corporate governance and public disclosure, including regulations implemented by the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must rely on the judgment of our management as to the use of the net proceeds from our initial public offering, and such use may not produce income or increase our ADS price.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will have considerable discretion in the application of the net proceeds received by 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our initial public offering in November 2022 may be placed in investments that do not produce income or that lose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trading price of the ADSs is likely to be volatile, which could result in substantial losses to investors.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tbl>
      <w:tblPr>
        <w:tblW w:w="4926" w:type="dxa"/>
        <w:jc w:val="left"/>
        <w:tblInd w:w="0" w:type="dxa"/>
        <w:tblCellMar>
          <w:top w:w="0" w:type="dxa"/>
          <w:left w:w="0" w:type="dxa"/>
          <w:bottom w:w="0" w:type="dxa"/>
          <w:right w:w="0" w:type="dxa"/>
        </w:tblCellMar>
      </w:tblPr>
      <w:tblGrid>
        <w:gridCol w:w="124"/>
        <w:gridCol w:w="181"/>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62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variations in our net revenues, earnings and cash flows;</w:t>
            </w:r>
          </w:p>
        </w:tc>
      </w:tr>
    </w:tbl>
    <w:tbl>
      <w:tblPr>
        <w:tblW w:w="9681" w:type="dxa"/>
        <w:jc w:val="left"/>
        <w:tblInd w:w="0" w:type="dxa"/>
        <w:tblCellMar>
          <w:top w:w="0" w:type="dxa"/>
          <w:left w:w="0" w:type="dxa"/>
          <w:bottom w:w="0" w:type="dxa"/>
          <w:right w:w="0" w:type="dxa"/>
        </w:tblCellMar>
      </w:tblPr>
      <w:tblGrid>
        <w:gridCol w:w="124"/>
        <w:gridCol w:w="181"/>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37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announcements of new investments, acquisitions, strategic partnerships or joint ventures by us or our competitors;</w:t>
            </w:r>
          </w:p>
        </w:tc>
      </w:tr>
    </w:tbl>
    <w:tbl>
      <w:tblPr>
        <w:tblW w:w="7296" w:type="dxa"/>
        <w:jc w:val="left"/>
        <w:tblInd w:w="0" w:type="dxa"/>
        <w:tblCellMar>
          <w:top w:w="0" w:type="dxa"/>
          <w:left w:w="0" w:type="dxa"/>
          <w:bottom w:w="0" w:type="dxa"/>
          <w:right w:w="0" w:type="dxa"/>
        </w:tblCellMar>
      </w:tblPr>
      <w:tblGrid>
        <w:gridCol w:w="124"/>
        <w:gridCol w:w="181"/>
        <w:gridCol w:w="699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99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announcements of new offerings, solutions and expansions by us or our competitors;</w:t>
            </w:r>
          </w:p>
        </w:tc>
      </w:tr>
    </w:tbl>
    <w:tbl>
      <w:tblPr>
        <w:tblW w:w="4716" w:type="dxa"/>
        <w:jc w:val="left"/>
        <w:tblInd w:w="0" w:type="dxa"/>
        <w:tblCellMar>
          <w:top w:w="0" w:type="dxa"/>
          <w:left w:w="0" w:type="dxa"/>
          <w:bottom w:w="0" w:type="dxa"/>
          <w:right w:w="0" w:type="dxa"/>
        </w:tblCellMar>
      </w:tblPr>
      <w:tblGrid>
        <w:gridCol w:w="124"/>
        <w:gridCol w:w="181"/>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41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changes in financial estimates by securities analysts;</w:t>
            </w:r>
          </w:p>
        </w:tc>
      </w:tr>
    </w:tbl>
    <w:tbl>
      <w:tblPr>
        <w:tblW w:w="5931" w:type="dxa"/>
        <w:jc w:val="left"/>
        <w:tblInd w:w="0" w:type="dxa"/>
        <w:tblCellMar>
          <w:top w:w="0" w:type="dxa"/>
          <w:left w:w="0" w:type="dxa"/>
          <w:bottom w:w="0" w:type="dxa"/>
          <w:right w:w="0" w:type="dxa"/>
        </w:tblCellMar>
      </w:tblPr>
      <w:tblGrid>
        <w:gridCol w:w="124"/>
        <w:gridCol w:w="181"/>
        <w:gridCol w:w="56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6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detrimental adverse publicity about us, our services or our industry;</w:t>
            </w:r>
          </w:p>
        </w:tc>
      </w:tr>
    </w:tbl>
    <w:tbl>
      <w:tblPr>
        <w:tblW w:w="6681" w:type="dxa"/>
        <w:jc w:val="left"/>
        <w:tblInd w:w="0" w:type="dxa"/>
        <w:tblCellMar>
          <w:top w:w="0" w:type="dxa"/>
          <w:left w:w="0" w:type="dxa"/>
          <w:bottom w:w="0" w:type="dxa"/>
          <w:right w:w="0" w:type="dxa"/>
        </w:tblCellMar>
      </w:tblPr>
      <w:tblGrid>
        <w:gridCol w:w="124"/>
        <w:gridCol w:w="181"/>
        <w:gridCol w:w="63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37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announcements of new regulations, rules or policies relevant to our business;</w:t>
            </w:r>
          </w:p>
        </w:tc>
      </w:tr>
    </w:tbl>
    <w:tbl>
      <w:tblPr>
        <w:tblW w:w="3771" w:type="dxa"/>
        <w:jc w:val="left"/>
        <w:tblInd w:w="0" w:type="dxa"/>
        <w:tblCellMar>
          <w:top w:w="0" w:type="dxa"/>
          <w:left w:w="0" w:type="dxa"/>
          <w:bottom w:w="0" w:type="dxa"/>
          <w:right w:w="0" w:type="dxa"/>
        </w:tblCellMar>
      </w:tblPr>
      <w:tblGrid>
        <w:gridCol w:w="124"/>
        <w:gridCol w:w="181"/>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346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additions or departures of key personnel;</w:t>
            </w:r>
          </w:p>
        </w:tc>
      </w:tr>
    </w:tbl>
    <w:tbl>
      <w:tblPr>
        <w:tblW w:w="5886" w:type="dxa"/>
        <w:jc w:val="left"/>
        <w:tblInd w:w="0" w:type="dxa"/>
        <w:tblCellMar>
          <w:top w:w="0" w:type="dxa"/>
          <w:left w:w="0" w:type="dxa"/>
          <w:bottom w:w="0" w:type="dxa"/>
          <w:right w:w="0" w:type="dxa"/>
        </w:tblCellMar>
      </w:tblPr>
      <w:tblGrid>
        <w:gridCol w:w="124"/>
        <w:gridCol w:w="181"/>
        <w:gridCol w:w="55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58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our controlling shareholder’s business performance and reputation;</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release of lock-up or other transfer restrictions on our outstanding equity securities or sales of additional equity securities; and</w:t>
            </w:r>
          </w:p>
        </w:tc>
      </w:tr>
    </w:tbl>
    <w:tbl>
      <w:tblPr>
        <w:tblW w:w="4341" w:type="dxa"/>
        <w:jc w:val="left"/>
        <w:tblInd w:w="0" w:type="dxa"/>
        <w:tblCellMar>
          <w:top w:w="0" w:type="dxa"/>
          <w:left w:w="0" w:type="dxa"/>
          <w:bottom w:w="0" w:type="dxa"/>
          <w:right w:w="0" w:type="dxa"/>
        </w:tblCellMar>
      </w:tblPr>
      <w:tblGrid>
        <w:gridCol w:w="124"/>
        <w:gridCol w:w="181"/>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03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potential litigation or regulatory investigations.</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the ADSs will trade.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the ADSs, the market price for the ADSs and trading volume could decline.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Our dual-class voting structure will limit your ability to influence corporate matters and could discourage others from pursuing any change of control transactions that holders of our Class A ordinary shares and ADSs may view as beneficial.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authorized and issued ordinary shares are divided into Class A ordinary shares and Class B ordinary shares. Holders of Class A ordinary shares will be entitled to one vote per share, while the holder of Class B ordinary shares will be entitled to ten votes per share. We issued Class A ordinary shares represented by the ADSs in our initial public offering in November 2022. Each Class B ordinary share is convertible into one Class A ordinary share at any time by the holders thereof, while Class A ordinary shares are not convertible into Class B ordinary shares under any circumstances.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30, 2023, Mr. Haijun Wang beneficially owns 73,680,917 Class B ordinary shares and controls the voting power of 44,412,523 Class A ordinary shares. Accordingly, Mr. Haijun Wang beneficially owns approximately 30.0% of our total issued and outstanding share capital and 73.9% of the aggregate voting power of our total issued and outstanding share capital as of March 30, 2023 due to the disparate voting powers associated with our dual-class share structure. As a result of the dual-class share structure and the concentration of ownership, the holder of Class B ordinary shares will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dual-class structure of our ordinary shares may adversely affect the trading market for the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Forum selection provisions in our memorandum and articles of association could limit the ability of holders of our Class A ordinary shares, ADSs, or other securities to obtain a favorable judicial forum for disputes with us, our directors and officers, the depositary bank, and potentially others.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memorandum and articles of association provide that the federal district courts of the United States are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shall be deemed to have notice of and consented to the provisions of our articles of association.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to be inapplicable or unenforceable in an action, we may incur additional costs associated with resolving such action in other jurisdictions. If upheld, the forum selection clause in our memorandum and articles of association may limit a security-holder’s ability to bring a claim against us, our directors and officers,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“controlled company” as defined under the Nasdaq Stock Market corporate governance rules. As a result, we will qualify for, and intend to rely on, exemptions from certain corporate governance requirements that would otherwise provide protection to shareholders of other companies.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“controlled company” as defined under the Nasdaq corporate governance rules because Mr. Haijun Wang will own more than 50% of our total voting power.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sale or availability for sale of substantial amounts of ADSs could adversely affect their market price.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substantial amounts of ADSs in the public market, or the perception that these sales could occur, could adversely affect the market price of the ADSs and could materially impair our ability to raise capital through equity offerings in the future. The ADSs sold in our initial public offering in November 2022 are freely tradable by persons other than our “affiliates”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We cannot predict what effect, if any, market sales of securities held by our significant shareholders or any other shareholder or the availability of these securities for future sale will have on the market price of the ADSs.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the ADSs.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Public companies that have substantially all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after our initial public offering, you must rely on a price appreciation of the ADSs for a return on your investment.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after our initial public offering in November 2022 to fund the development and growth of our business. As a result, we do not expect to pay any cash dividends in the foreseeable future. Therefore, you should not rely on an investment in the ADSs as a source for any future dividend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us being unable to pay its debts as they fall due in the ordinary course of business.</w:t>
      </w:r>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pStyle w:val="TextBody"/>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The approval or filing of the China Securities Regulatory Commission or other PRC regulatory agencies may be required to maintain our listing status or conduct future offshore securities offerings.</w:t>
      </w:r>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The Regulations on Mergers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we have obtained,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pStyle w:val="TextBody"/>
        <w:spacing w:before="0" w:after="160"/>
        <w:ind w:left="0" w:right="0" w:firstLine="360"/>
        <w:jc w:val="both"/>
        <w:rPr>
          <w:rFonts w:ascii="Times New Roman;Times;serif" w:hAnsi="Times New Roman;Times;serif"/>
          <w:sz w:val="20"/>
        </w:rPr>
      </w:pPr>
      <w:r>
        <w:rPr>
          <w:rFonts w:ascii="Times New Roman;Times;serif" w:hAnsi="Times New Roman;Times;serif"/>
          <w:sz w:val="20"/>
        </w:rPr>
        <w:t>Furthermore, numerous regulations, guidelines and other measures have been or are expected to be adopted under the umbrella of or in addition to the Cybersecurity Law, Data Security Law and Personal Information Protection Law, including (i) the Measures for the Security Assessment for Cross-border Transfer of Personal Information (Draft for Comments) published by the Cyberspace Administration of China, or CAC, in 2019, which may, upon enactment, require security review before transferring personal information out of China, (ii) the amended Cybersecurity Review Measures published on December 28, 2021, which came into effect on February 15, 2022, provide that a “network platform operator” that possesses personal information of more than one million users and seeks a listing in a foreign country must apply for a cybersecurity review, and (iii) the Measures for the Security Assessment of Cross-boarder Data Transfer, which came into effect on September 1, 2022, provide that certain types of data processors transferring important data or personal information collected and generated during operations within the territory of the PRC to an overseas recipient must apply for security assessment of cross-boarder data transfer. As a network platform operator who possesses personal information of more than one million users for purposes of the Cybersecurity Review Measures, we had applied for and completed a cybersecurity review with respect to the listing of our ADSs on the Nasdaq pursuant to the Cybersecurity Review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17, 2023, the CSRC, as approved by the State Council, released the CSRC Filing Rules, which came into effect on March 31, 2023. Under the CSRC Filing Rules, a filing-based regulatory system shall be applied to “indirect overseas offerings and listings” of PRC domestic companies. Pursuant to the CSRC Filing Rules, if the issuer meets either of the following conditions, its securities offerings and listing will be deemed as an “indirect overseas offering and listing by a PRC domestic company” and is therefore subject to the filing requirements: (i) any of the revenues, profits, total assets or net assets of the issuer’s Chinese operating entities in the most recent financial year accounts for more than 50% of the corresponding data in the issuer’s audited consolidated financial statements for the same period; and (ii) the key link of its business operations are conducted in mainland China or its principal place of business is located in the mainland China, or the majority of senior management in charge of business operations are Chinese citizens or have domicile in the PRC. The CSRC Filing Rules state that, any post-listing follow-on offering by an issuer in an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will be subject to the filing requirements under the CSRC Filing Rules. If we fail to complete the filing procedures with the CSRC for any future overseas securities offering or listing, we may face sanctions by the CSRC,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to the best of our knowledge, our business operations do not violate any of the above PRC laws and regulations currently in force in all material respects. Nevertheless, we cannot guarantee that new rules or regulations promulgated in the future will not impose any additional requirement on us. If there are any other approvals, filings and/or other administration procedures to be obtained from or completed with any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such PRC regulatory agencies, which may have a material adverse effect on our business, financial condition or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Our corporate affairs are governed by our memorandum and articles of association, as amended from time to time,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In addition,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the Company as a whole.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(other than the memorandum and articles of association, special resolutions which have been passed by shareholders, register of mortgages and charges, and a list of current directors)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It may be difficult for overseas regulators to conduct investigations or collect evidence within China.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a mutual and practical cooperation mechanism. According to Article 177 of the PRC Securities Law which became effective in March 2020, no overseas securities regulator is allowed to directly conduct investigation or evidence collection activities within the territory of the PRC. While detailed interpretation of or implementation of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judgments obtained against us by our shareholders may not be enforceable.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exempted company limited by shares incorporated under the laws of the Cayman Islands and substantially all of our assets are located outside of the United States.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However, the deposit agreement gives you the right to submit claims against us to binding arbitration, and arbitration awards may be enforceable against us and our assets in China even when court judgments are not.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ADSs holders may not be entitled to a jury trial with respect to claims arising under the deposit agreement, which could result in less favorable outcomes to the plaintiff(s) in any such action.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State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Nevertheless, if this jury trial waiver is not permitted by applicable law, an action could proceed under the terms of the deposit agreement with a jury trial. No condition, stipulation or provision of the deposit agreement or the ADSs serves as a waiver by any owner or holder of ADSs or by us or the depositary of compliance with any substantive provision of the U.S. federal securities laws and the rules and regulations promulgated thereunder.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you may not be able to exercise your right to direct the voting of the Class A ordinary shares underlying the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an exempted company incorporated in the Cayman Islands, we are not obliged by the Companies Act (As Revised) to call shareholders’ annual general meetings. Our Ninth Amended and Restated Memorandum and Articles of Association provide that we may (but are not obliged to) each year hold a general meeting as our annual general meeting. As a holder of ADSs, you will not have any direct right to attend general meetings of our company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Upon receipt of your voting instructions, the depositary may try to vote the Class A ordinary shares underlying the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cancel the ADSs and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We cannot assure you that you will receive the voting materials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be subject to limitations on the transfer of the ADSs.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ADSs are transferable on the books of the depositary. However, the depositary may close its books at any time or from time 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 emerging growth company within the meaning of the Securities Act and may take advantage of certain reduced reporting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U.S. domestic public companies.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rules under the Exchange Act requiring the filing with the SEC of quarterly reports on Form 10-Q, quarterly certifications by the principal executive and financial officers or current reports on Form 8-K;</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 and</w:t>
            </w:r>
          </w:p>
        </w:tc>
      </w:tr>
    </w:tbl>
    <w:tbl>
      <w:tblPr>
        <w:tblW w:w="8226" w:type="dxa"/>
        <w:jc w:val="left"/>
        <w:tblInd w:w="0" w:type="dxa"/>
        <w:tblCellMar>
          <w:top w:w="0" w:type="dxa"/>
          <w:left w:w="0" w:type="dxa"/>
          <w:bottom w:w="0" w:type="dxa"/>
          <w:right w:w="0" w:type="dxa"/>
        </w:tblCellMar>
      </w:tblPr>
      <w:tblGrid>
        <w:gridCol w:w="124"/>
        <w:gridCol w:w="181"/>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92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an exempted company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and (iii) a majority of independent directors and that the audit committee consist of at least three members. To the extent that we choose to follow home country practice in the future, our shareholders may be afforded less protection than they otherwise would enjoy under Nasdaq corporate governance listing standards applicable to U.S. domestic issuers.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not be a passive foreign investment company, or PFIC, for the current or any future taxable year, which could result in adverse U.S. federal income tax consequences to U.S. investors in the ADSs or our Class A ordinary shares.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a non-U.S. corporation is a PFIC for U.S. federal income tax purposes for any taxable year in which (i) 75% or more of its gross income consists of passive income or (ii) 50% or more of the average value of its assets (generally determined on an average quarterly basis) consists of assets that produce, or are held for the production of, passive income. For purposes of these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(other than certain royalties derived in an active business), and certain investment gains. Cash is generally a passive asset for these purposes. Goodwill (the value of which may be determined by reference to the excess of the sum of the corporation’s market capitalization and liabilities over the value of its assets) is generally characterized as an active asset to the extent it is associated with business activities that produce active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manner in which we currently conduct our business, the composition of our income and assets and the estimated value of our assets (including goodwill), we believe that we were not a PFIC for our 2022 taxable year. However, our PFIC status for any taxable year is an annual factual determination that can be made only after the end of that year and depends on the composition of our income and assets and the average value of our assets from time to time, including the value of our goodwill (which may be determined, in part, by reference to our market capitalization, which could be volatile). Therefore, we may be or become a PFIC for any taxable year if our market capitalization declines while we hold a substantial amount of cash and financial investments. In addition, if in the future we change the type of services we provide with respect to our franchised hotels, our PFIC status for any taxable year may depend on whether and to what extent our income from franchised hotels will be treated as derived in the active conduct of a trade or business within the meaning of applicable Treasury regulations. Because of these uncertainties, there can be no assurance that we will not be a PFIC for our current or any future taxable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a PFIC for any taxable year during which a U.S. taxpayer owns ADSs or Class A ordinary shares, the U.S. taxpayer generally will be subject to adverse U.S. federal income tax consequences, including increased tax liability on disposition gains and “excess distributions” (subject to alternative treatment if the U.S. taxpayer is able to, and makes, a valid mark-to-market election) and additional reporting requirements. See “Item 10. Additional Information—10.E. Taxation—Material U.S. Federal Income Tax Considerations—Passive Foreign Investment Company Rules.”</w:t>
      </w:r>
    </w:p>
    <w:p>
      <w:pPr>
        <w:pStyle w:val="TextBody"/>
        <w:spacing w:before="0" w:after="240"/>
        <w:ind w:left="0" w:right="0" w:hanging="0"/>
        <w:jc w:val="left"/>
        <w:rPr>
          <w:rFonts w:ascii="Times New Roman;Times;serif" w:hAnsi="Times New Roman;Times;serif"/>
          <w:sz w:val="20"/>
        </w:rPr>
      </w:pPr>
      <w:bookmarkStart w:id="30" w:name="ITEM4INFORMATIONONTHECOMPANY_346493"/>
      <w:bookmarkStart w:id="31" w:name="_fdd31155_7243_4a43_aec1_c96cc36aa22b"/>
      <w:bookmarkEnd w:id="30"/>
      <w:bookmarkEnd w:id="31"/>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tbl>
      <w:tblPr>
        <w:tblW w:w="4142" w:type="dxa"/>
        <w:jc w:val="left"/>
        <w:tblInd w:w="0" w:type="dxa"/>
        <w:tblCellMar>
          <w:top w:w="0" w:type="dxa"/>
          <w:left w:w="0" w:type="dxa"/>
          <w:bottom w:w="0" w:type="dxa"/>
          <w:right w:w="0" w:type="dxa"/>
        </w:tblCellMar>
      </w:tblPr>
      <w:tblGrid>
        <w:gridCol w:w="451"/>
        <w:gridCol w:w="369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4.A.</w:t>
            </w:r>
          </w:p>
        </w:tc>
        <w:tc>
          <w:tcPr>
            <w:tcW w:w="369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History and Development of the Company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Atour Shanghai was established in 2013. We currently conduct all of our businesses in China through Atour Shanghai and its subsidiaries.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established Atour Lifestyle Holdings Limited as our holding company in the Cayman Islands on April 10, 2012 in anticipation of future capital raising from international investors. Atour Hong Kong was incorporated on March 5, 2021 in Hong Kong.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restructuring for our initial public offering, Atour Lifestyle Holdings Limited acquired 100% of the equity interest in Atour Hong Kong, and Atour Hong Kong owns 100% of the equity interest in Atour Shanghai, which controls all of our business operations within the PRC.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2022, we completed an initial public offering in which we offered and sold an aggregate of 16,387,500 Class A ordinary shares in the form of ADSs. On November 11, 2022, our ADSs commenced trading on Nasdaq under the symbol “ATAT.”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executive offices are located at 1st floor, Wuzhong Building, 618 Wuzhong Road, Minhang District, Shanghai, People’s Republic of China. Our telephone number at this address is +86-021-64059928. Our registered office in the Cayman Islands is located at P.O. Box 309, Ugland House, Grand Cayman, KY1-1104, Cayman Islands. Our agent for service of process in the United States is located at 122 East 42nd Street, 18th Floor, New York, NY 10168.</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Such information can also be found on our investor relations website at https://ir.yaduo.com.</w:t>
      </w:r>
    </w:p>
    <w:tbl>
      <w:tblPr>
        <w:tblW w:w="2192" w:type="dxa"/>
        <w:jc w:val="left"/>
        <w:tblInd w:w="0" w:type="dxa"/>
        <w:tblCellMar>
          <w:top w:w="0" w:type="dxa"/>
          <w:left w:w="0" w:type="dxa"/>
          <w:bottom w:w="0" w:type="dxa"/>
          <w:right w:w="0" w:type="dxa"/>
        </w:tblCellMar>
      </w:tblPr>
      <w:tblGrid>
        <w:gridCol w:w="451"/>
        <w:gridCol w:w="174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4.B.</w:t>
            </w:r>
          </w:p>
        </w:tc>
        <w:tc>
          <w:tcPr>
            <w:tcW w:w="174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Business Overview</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the largest upper midscale hotel chain in China in terms of room number as of the end of 2022, according to Frost &amp; Sullivan. Through our hotel network, loyalty program and data and technology capabilities, we have been tirelessly exploring new possible ways to set the new trends for China’s hospitality industry and expand our offerings beyond our hotels. We distinguish ourselves from our peers in the following aspects: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Hotel network with a distinct portfolio of lifestyle brands.</w:t>
            </w:r>
            <w:r>
              <w:rPr>
                <w:rFonts w:ascii="Times New Roman;Times;serif" w:hAnsi="Times New Roman;Times;serif"/>
                <w:sz w:val="20"/>
              </w:rPr>
              <w:t xml:space="preserve"> We offer our guests a diversified collection of lifestyle hotel brands, each created with a unique personality under the unified ethos of inclusivity and presence of humanness. As of December 31, 2022, our hotel network covered 932 hotels spanning 163 cities in China, with a total of 107,998 hotel rooms, including 899 manachised hotels with a total of 102,945 manachised hotel rooms, in addition to a pipeline of 363 manachised hotels with a total of 39,285 rooms under development. Our guests can book a stay with us and access our rich product and service offerings through offline and online channels, including our mobile app and Weixin/WeChat mini program.</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pPr>
            <w:r>
              <w:rPr/>
              <w:t>“</w:t>
            </w:r>
            <w:r>
              <w:rPr>
                <w:rFonts w:ascii="Times New Roman;Times;serif" w:hAnsi="Times New Roman;Times;serif"/>
                <w:i/>
                <w:sz w:val="20"/>
              </w:rPr>
              <w:t xml:space="preserve">A-Card” loyalty program with strong customer stickiness. </w:t>
            </w:r>
            <w:r>
              <w:rPr>
                <w:rFonts w:ascii="Times New Roman;Times;serif" w:hAnsi="Times New Roman;Times;serif"/>
                <w:sz w:val="20"/>
              </w:rPr>
              <w:t>We built our A-Card loyalty program to enhance our engagement with guests and provide them with a unique and personalized experience. As of December 31, 2022, our A-Card loyalty program had amassed approximately 35 million registered individual members.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Proprietary data and technology capabilities.</w:t>
            </w:r>
            <w:r>
              <w:rPr>
                <w:rFonts w:ascii="Times New Roman;Times;serif" w:hAnsi="Times New Roman;Times;serif"/>
                <w:sz w:val="20"/>
              </w:rPr>
              <w:t xml:space="preserve"> To provide our customers with personalized services and products, we have developed a comprehensive digital management system, which improves customer experience and operational efficiency in room reservation, room management, pricing and membership benefits. We use our data technology to identify market trends and inform our hotel management decisions, and make our hotel services and retail products more relatable to customers through seamless integration into our rooms and other consumption scenarios throughout our hotels.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are the first hotel chain in China to develop a scenario-based retail business. We design our guest room amenities, work closely with manufacturers to deliver top-quality products, and carefully place the relevant products in guest rooms. Each of our guest rooms incorporates a fully immersive shopping destination, enabling us to strengthen our brand elasticity with our guests. As of December 31, 2022, we had developed a total of 2,464 SKUs for scenario-based retail. The GMV generated from our retail business increased by 112.9% from RMB107.2 million in 2020 to RMB228.2 million in 2021, and further by 41.9% to RMB323.7 million in 2022. In 2022, the average transaction value per scenario-based retail order reached RMB399.8.</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mainly use the manachise model to expand our hotel network in a less capital-intensive manner. We also lease the properties of the hotels we operate. As of December 31, 2022, we had 33 leased hotels and 899 manachised hotels.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The Atour Experience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unique Atour experience is underpinned by three pillars - the creative hotel space, the “standardized” personalized guest services, and the lifestyle offerings that make Atour more than just a hotel brand.</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Creative Space Built By and For the Creative Class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Atour experience starts with our dynamic hotel space with identities.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purposefully design and operate individually conceived lifestyle hotel brands that cater to diversified audiences, with a common thread of brand hallmarks that deliver a locally inspired, neighborhood boutique yet consistently enjoyable experience. As of December 31, 2022, we had developed six lifestyle hotel brands, covering the entire chain of midscale to luxury hotels with differentiated appeal to a wide range of guests, from discerning business travelers to the rising Generation-Z population.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Each Atour hotel brand has its own unique personality under the unified ethos of inclusivity and presence of humanness. Across all our brands, we are dedicated to offering every guest a unique, memorable experience, combining the idiosyncratic design and personalized services associated with boutique hotels with the peace of mind and consistency from staying with the world’s largest hotel chains.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operate our hotel brands under lease and “manachise” models. Under the lease model, we design, build, and operate hotels located on leased premises. Under the “manachise” model, we manage hotels through the on-site hotel managers and HR representatives we appoint to each hotel and collect fees from franchisees. For a detailed discussion of our hotel network operated under lease and “manachise” models, please refer to “- Hotel Development” and “- Hotel Management.”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key information about each of our hotel brands.</w:t>
      </w:r>
    </w:p>
    <w:p>
      <w:pPr>
        <w:pStyle w:val="TextBody"/>
        <w:spacing w:before="0" w:after="0"/>
        <w:ind w:left="0" w:right="0" w:hanging="0"/>
        <w:jc w:val="both"/>
        <w:rPr/>
      </w:pPr>
      <w:r>
        <w:rPr/>
        <w:t>​</w:t>
      </w:r>
    </w:p>
    <w:tbl>
      <w:tblPr>
        <w:tblW w:w="6472" w:type="dxa"/>
        <w:jc w:val="left"/>
        <w:tblInd w:w="0" w:type="dxa"/>
        <w:tblCellMar>
          <w:top w:w="0" w:type="dxa"/>
          <w:left w:w="0" w:type="dxa"/>
          <w:bottom w:w="0" w:type="dxa"/>
          <w:right w:w="0" w:type="dxa"/>
        </w:tblCellMar>
      </w:tblPr>
      <w:tblGrid>
        <w:gridCol w:w="1516"/>
        <w:gridCol w:w="109"/>
        <w:gridCol w:w="1366"/>
        <w:gridCol w:w="109"/>
        <w:gridCol w:w="511"/>
        <w:gridCol w:w="109"/>
        <w:gridCol w:w="961"/>
        <w:gridCol w:w="109"/>
        <w:gridCol w:w="601"/>
        <w:gridCol w:w="109"/>
        <w:gridCol w:w="781"/>
        <w:gridCol w:w="191"/>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62660" cy="175260"/>
                      <wp:effectExtent l="0" t="0" r="0" b="0"/>
                      <wp:wrapNone/>
                      <wp:docPr id="7" name="Frame6"/>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867410" cy="29210"/>
                      <wp:effectExtent l="0" t="0" r="0" b="0"/>
                      <wp:wrapNone/>
                      <wp:docPr id="9" name="Frame8"/>
                      <a:graphic xmlns:a="http://schemas.openxmlformats.org/drawingml/2006/main">
                        <a:graphicData uri="http://schemas.microsoft.com/office/word/2010/wordprocessingShape">
                          <wps:wsp>
                            <wps:cNvSpPr txBox="1"/>
                            <wps:spPr>
                              <a:xfrm>
                                <a:off x="0" y="0"/>
                                <a:ext cx="8674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24485" cy="29210"/>
                      <wp:effectExtent l="0" t="0" r="0" b="0"/>
                      <wp:wrapNone/>
                      <wp:docPr id="11" name="Frame10"/>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10235" cy="175260"/>
                      <wp:effectExtent l="0" t="0" r="0" b="0"/>
                      <wp:wrapNone/>
                      <wp:docPr id="13" name="Frame12"/>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14" name="Frame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81635" cy="175260"/>
                      <wp:effectExtent l="0" t="0" r="0" b="0"/>
                      <wp:wrapNone/>
                      <wp:docPr id="15" name="Frame14"/>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16" name="Frame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5935" cy="175260"/>
                      <wp:effectExtent l="0" t="0" r="0" b="0"/>
                      <wp:wrapNone/>
                      <wp:docPr id="17" name="Frame1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18" name="Frame17"/>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lineRule="auto" w:line="304" w:before="0" w:after="0"/>
              <w:ind w:left="0" w:right="0" w:hanging="0"/>
              <w:jc w:val="center"/>
              <w:rPr/>
            </w:pPr>
            <w:r>
              <w:rPr/>
              <w:t>​</w:t>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1366" w:type="dxa"/>
            <w:tcBorders/>
            <w:shd w:fill="auto" w:val="clear"/>
            <w:vAlign w:val="center"/>
          </w:tcPr>
          <w:p>
            <w:pPr>
              <w:pStyle w:val="TableContents"/>
              <w:spacing w:lineRule="auto" w:line="304" w:before="0" w:after="0"/>
              <w:ind w:left="0" w:right="0" w:hanging="0"/>
              <w:jc w:val="center"/>
              <w:rPr/>
            </w:pPr>
            <w:r>
              <w:rPr/>
              <w:t>​</w:t>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3181" w:type="dxa"/>
            <w:gridSpan w:val="7"/>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c>
          <w:tcPr>
            <w:tcW w:w="191"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r>
      <w:tr>
        <w:trPr/>
        <w:tc>
          <w:tcPr>
            <w:tcW w:w="1516" w:type="dxa"/>
            <w:tcBorders>
              <w:bottom w:val="single" w:sz="2" w:space="0" w:color="000000"/>
            </w:tcBorders>
            <w:shd w:fill="auto" w:val="clear"/>
            <w:tcMar>
              <w:bottom w:w="28" w:type="dxa"/>
            </w:tcMar>
            <w:vAlign w:val="center"/>
          </w:tcPr>
          <w:p>
            <w:pPr>
              <w:pStyle w:val="TableContents"/>
              <w:pBdr/>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Brand</w:t>
            </w:r>
          </w:p>
        </w:tc>
        <w:tc>
          <w:tcPr>
            <w:tcW w:w="109"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w:t>
            </w:r>
          </w:p>
        </w:tc>
        <w:tc>
          <w:tcPr>
            <w:tcW w:w="136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Positioning</w:t>
            </w:r>
          </w:p>
        </w:tc>
        <w:tc>
          <w:tcPr>
            <w:tcW w:w="109"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w:t>
            </w:r>
          </w:p>
        </w:tc>
        <w:tc>
          <w:tcPr>
            <w:tcW w:w="511" w:type="dxa"/>
            <w:tcBorders>
              <w:top w:val="single" w:sz="2" w:space="0" w:color="000000"/>
              <w:bottom w:val="single" w:sz="2" w:space="0" w:color="000000"/>
            </w:tcBorders>
            <w:shd w:fill="auto" w:val="clear"/>
            <w:tcMar>
              <w:top w:w="28" w:type="dxa"/>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Cities</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lineRule="auto" w:line="304" w:before="0" w:after="0"/>
              <w:ind w:left="0" w:right="0" w:hanging="0"/>
              <w:jc w:val="center"/>
              <w:rPr/>
            </w:pPr>
            <w:r>
              <w:rPr/>
              <w:t>​</w:t>
            </w:r>
          </w:p>
        </w:tc>
        <w:tc>
          <w:tcPr>
            <w:tcW w:w="1671" w:type="dxa"/>
            <w:gridSpan w:val="3"/>
            <w:tcBorders>
              <w:top w:val="single" w:sz="2" w:space="0" w:color="000000"/>
              <w:bottom w:val="single" w:sz="2" w:space="0" w:color="000000"/>
            </w:tcBorders>
            <w:shd w:fill="auto" w:val="clear"/>
            <w:tcMar>
              <w:top w:w="28" w:type="dxa"/>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lineRule="auto" w:line="304" w:before="0" w:after="0"/>
              <w:ind w:left="0" w:right="0" w:hanging="0"/>
              <w:jc w:val="center"/>
              <w:rPr/>
            </w:pPr>
            <w:r>
              <w:rPr/>
              <w:t>​</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Rooms</w:t>
            </w:r>
          </w:p>
        </w:tc>
        <w:tc>
          <w:tcPr>
            <w:tcW w:w="191"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w:t>
            </w:r>
          </w:p>
        </w:tc>
      </w:tr>
      <w:tr>
        <w:trPr/>
        <w:tc>
          <w:tcPr>
            <w:tcW w:w="1516"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pPr>
            <w:r>
              <w:rPr/>
              <w:t>​</w:t>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1366"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511"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961"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Manachised</w:t>
            </w:r>
          </w:p>
        </w:tc>
        <w:tc>
          <w:tcPr>
            <w:tcW w:w="109"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pPr>
            <w:r>
              <w:rPr/>
              <w:t>​</w:t>
            </w:r>
          </w:p>
        </w:tc>
        <w:tc>
          <w:tcPr>
            <w:tcW w:w="601"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Leased</w:t>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781" w:type="dxa"/>
            <w:tcBorders>
              <w:top w:val="single" w:sz="2" w:space="0" w:color="000000"/>
            </w:tcBorders>
            <w:shd w:fill="auto" w:val="clear"/>
            <w:tcMar>
              <w:top w:w="28" w:type="dxa"/>
            </w:tcMar>
            <w:vAlign w:val="center"/>
          </w:tcPr>
          <w:p>
            <w:pPr>
              <w:pStyle w:val="TableContents"/>
              <w:spacing w:lineRule="auto" w:line="304" w:before="0" w:after="0"/>
              <w:ind w:left="0" w:right="0" w:hanging="0"/>
              <w:jc w:val="center"/>
              <w:rPr/>
            </w:pPr>
            <w:r>
              <w:rPr/>
              <w:t>​</w:t>
            </w:r>
          </w:p>
        </w:tc>
        <w:tc>
          <w:tcPr>
            <w:tcW w:w="191" w:type="dxa"/>
            <w:tcBorders/>
            <w:shd w:fill="auto" w:val="clear"/>
            <w:vAlign w:val="center"/>
          </w:tcPr>
          <w:p>
            <w:pPr>
              <w:pStyle w:val="TableContents"/>
              <w:spacing w:lineRule="auto" w:line="304" w:before="0" w:after="0"/>
              <w:ind w:left="0" w:right="0" w:hanging="0"/>
              <w:rPr/>
            </w:pPr>
            <w:r>
              <w:rPr/>
              <w:t>​</w:t>
            </w:r>
          </w:p>
        </w:tc>
      </w:tr>
      <w:tr>
        <w:trPr/>
        <w:tc>
          <w:tcPr>
            <w:tcW w:w="1516" w:type="dxa"/>
            <w:tcBorders/>
            <w:shd w:fill="CCEEFF" w:val="clear"/>
            <w:vAlign w:val="center"/>
          </w:tcPr>
          <w:p>
            <w:pPr>
              <w:pStyle w:val="TableContents"/>
              <w:pBdr/>
              <w:spacing w:lineRule="auto" w:line="304" w:before="48" w:after="48"/>
              <w:ind w:left="101" w:right="0" w:hanging="144"/>
              <w:jc w:val="center"/>
              <w:rPr/>
            </w:pPr>
            <w:r>
              <w:rPr/>
              <w:drawing>
                <wp:inline distT="0" distB="0" distL="0" distR="0">
                  <wp:extent cx="559435" cy="28575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559435" cy="285750"/>
                          </a:xfrm>
                          <a:prstGeom prst="rect">
                            <a:avLst/>
                          </a:prstGeom>
                        </pic:spPr>
                      </pic:pic>
                    </a:graphicData>
                  </a:graphic>
                </wp:inline>
              </w:drawing>
            </w:r>
          </w:p>
          <w:p>
            <w:pPr>
              <w:pStyle w:val="TableContents"/>
              <w:pBdr/>
              <w:spacing w:lineRule="auto" w:line="304" w:before="48" w:after="48"/>
              <w:ind w:left="0" w:right="0" w:hanging="0"/>
              <w:jc w:val="center"/>
              <w:rPr>
                <w:rFonts w:ascii="Times New Roman;Times;serif" w:hAnsi="Times New Roman;Times;serif"/>
                <w:b/>
                <w:sz w:val="20"/>
              </w:rPr>
            </w:pPr>
            <w:r>
              <w:rPr>
                <w:rFonts w:ascii="Times New Roman;Times;serif" w:hAnsi="Times New Roman;Times;serif"/>
                <w:b/>
                <w:sz w:val="20"/>
              </w:rPr>
              <w:t>A.T. House</w:t>
            </w:r>
          </w:p>
        </w:tc>
        <w:tc>
          <w:tcPr>
            <w:tcW w:w="109" w:type="dxa"/>
            <w:tcBorders/>
            <w:shd w:fill="CCEEFF" w:val="clear"/>
            <w:vAlign w:val="center"/>
          </w:tcPr>
          <w:p>
            <w:pPr>
              <w:pStyle w:val="TableContents"/>
              <w:spacing w:lineRule="auto" w:line="304" w:before="96" w:after="96"/>
              <w:ind w:left="0" w:right="0" w:hanging="0"/>
              <w:rPr/>
            </w:pPr>
            <w:r>
              <w:rPr/>
              <w:t>​</w:t>
            </w:r>
          </w:p>
        </w:tc>
        <w:tc>
          <w:tcPr>
            <w:tcW w:w="1366" w:type="dxa"/>
            <w:tcBorders/>
            <w:shd w:fill="CCEEFF" w:val="clear"/>
            <w:vAlign w:val="center"/>
          </w:tcPr>
          <w:p>
            <w:pPr>
              <w:pStyle w:val="TableContents"/>
              <w:spacing w:lineRule="auto" w:line="304" w:before="96" w:after="96"/>
              <w:ind w:left="0" w:right="0" w:hanging="0"/>
              <w:rPr>
                <w:rFonts w:ascii="Times New Roman;Times;serif" w:hAnsi="Times New Roman;Times;serif"/>
                <w:sz w:val="20"/>
              </w:rPr>
            </w:pPr>
            <w:r>
              <w:rPr>
                <w:rFonts w:ascii="Times New Roman;Times;serif" w:hAnsi="Times New Roman;Times;serif"/>
                <w:sz w:val="20"/>
              </w:rPr>
              <w:t>Luxury</w:t>
            </w:r>
          </w:p>
        </w:tc>
        <w:tc>
          <w:tcPr>
            <w:tcW w:w="109" w:type="dxa"/>
            <w:tcBorders/>
            <w:shd w:fill="CCEEFF" w:val="clear"/>
            <w:vAlign w:val="center"/>
          </w:tcPr>
          <w:p>
            <w:pPr>
              <w:pStyle w:val="TableContents"/>
              <w:spacing w:lineRule="auto" w:line="304" w:before="96" w:after="96"/>
              <w:ind w:left="0" w:right="0" w:hanging="0"/>
              <w:rPr/>
            </w:pPr>
            <w:r>
              <w:rPr/>
              <w:t>​</w:t>
            </w:r>
          </w:p>
        </w:tc>
        <w:tc>
          <w:tcPr>
            <w:tcW w:w="51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961" w:type="dxa"/>
            <w:tcBorders/>
            <w:shd w:fill="CCEEFF" w:val="clear"/>
            <w:vAlign w:val="center"/>
          </w:tcPr>
          <w:p>
            <w:pPr>
              <w:pStyle w:val="TableContents"/>
              <w:spacing w:lineRule="auto" w:line="304" w:before="96" w:after="96"/>
              <w:ind w:left="0" w:right="0" w:hanging="0"/>
              <w:jc w:val="center"/>
              <w:rPr/>
            </w:pPr>
            <w:r>
              <w:rPr/>
              <w:t>—</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60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lineRule="auto" w:line="304" w:before="96" w:after="96"/>
              <w:ind w:left="0" w:right="0" w:hanging="0"/>
              <w:rPr/>
            </w:pPr>
            <w:r>
              <w:rPr/>
              <w:t>​</w:t>
            </w:r>
          </w:p>
        </w:tc>
        <w:tc>
          <w:tcPr>
            <w:tcW w:w="781" w:type="dxa"/>
            <w:tcBorders/>
            <w:shd w:fill="CCEEFF"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214</w:t>
            </w:r>
          </w:p>
        </w:tc>
        <w:tc>
          <w:tcPr>
            <w:tcW w:w="191" w:type="dxa"/>
            <w:tcBorders/>
            <w:shd w:fill="CCEEFF" w:val="clear"/>
            <w:vAlign w:val="center"/>
          </w:tcPr>
          <w:p>
            <w:pPr>
              <w:pStyle w:val="TableContents"/>
              <w:spacing w:lineRule="auto" w:line="304" w:before="96" w:after="96"/>
              <w:ind w:left="0" w:right="0" w:hanging="0"/>
              <w:rPr/>
            </w:pPr>
            <w:r>
              <w:rPr/>
              <w:t>​</w:t>
            </w:r>
          </w:p>
        </w:tc>
      </w:tr>
      <w:tr>
        <w:trPr/>
        <w:tc>
          <w:tcPr>
            <w:tcW w:w="1516" w:type="dxa"/>
            <w:tcBorders/>
            <w:shd w:fill="auto" w:val="clear"/>
            <w:vAlign w:val="center"/>
          </w:tcPr>
          <w:p>
            <w:pPr>
              <w:pStyle w:val="TableContents"/>
              <w:pBdr/>
              <w:spacing w:lineRule="auto" w:line="304" w:before="48" w:after="48"/>
              <w:ind w:left="100" w:right="0" w:hanging="144"/>
              <w:jc w:val="center"/>
              <w:rPr/>
            </w:pPr>
            <w:r>
              <w:rPr/>
              <w:drawing>
                <wp:inline distT="0" distB="0" distL="0" distR="0">
                  <wp:extent cx="215900" cy="19113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215900" cy="191135"/>
                          </a:xfrm>
                          <a:prstGeom prst="rect">
                            <a:avLst/>
                          </a:prstGeom>
                        </pic:spPr>
                      </pic:pic>
                    </a:graphicData>
                  </a:graphic>
                </wp:inline>
              </w:drawing>
            </w:r>
          </w:p>
          <w:p>
            <w:pPr>
              <w:pStyle w:val="TableContents"/>
              <w:pBdr/>
              <w:spacing w:lineRule="auto" w:line="304" w:before="48" w:after="48"/>
              <w:ind w:left="0" w:right="0" w:hanging="0"/>
              <w:jc w:val="center"/>
              <w:rPr>
                <w:rFonts w:ascii="Times New Roman;Times;serif" w:hAnsi="Times New Roman;Times;serif"/>
                <w:sz w:val="20"/>
              </w:rPr>
            </w:pPr>
            <w:r>
              <w:rPr>
                <w:rFonts w:ascii="Times New Roman;Times;serif" w:hAnsi="Times New Roman;Times;serif"/>
                <w:sz w:val="20"/>
              </w:rPr>
              <w:t>Atour S</w:t>
            </w:r>
          </w:p>
        </w:tc>
        <w:tc>
          <w:tcPr>
            <w:tcW w:w="109" w:type="dxa"/>
            <w:tcBorders/>
            <w:shd w:fill="auto" w:val="clear"/>
            <w:vAlign w:val="center"/>
          </w:tcPr>
          <w:p>
            <w:pPr>
              <w:pStyle w:val="TableContents"/>
              <w:spacing w:lineRule="auto" w:line="304" w:before="96" w:after="96"/>
              <w:ind w:left="0" w:right="0" w:hanging="0"/>
              <w:rPr/>
            </w:pPr>
            <w:r>
              <w:rPr/>
              <w:t>​</w:t>
            </w:r>
          </w:p>
        </w:tc>
        <w:tc>
          <w:tcPr>
            <w:tcW w:w="1366" w:type="dxa"/>
            <w:tcBorders/>
            <w:shd w:fill="auto" w:val="clear"/>
            <w:vAlign w:val="center"/>
          </w:tcPr>
          <w:p>
            <w:pPr>
              <w:pStyle w:val="TableContents"/>
              <w:spacing w:lineRule="auto" w:line="304" w:before="96" w:after="96"/>
              <w:ind w:left="0" w:right="0" w:hanging="0"/>
              <w:rPr>
                <w:rFonts w:ascii="Times New Roman;Times;serif" w:hAnsi="Times New Roman;Times;serif"/>
                <w:sz w:val="20"/>
              </w:rPr>
            </w:pPr>
            <w:r>
              <w:rPr>
                <w:rFonts w:ascii="Times New Roman;Times;serif" w:hAnsi="Times New Roman;Times;serif"/>
                <w:sz w:val="20"/>
              </w:rPr>
              <w:t>Upscale</w:t>
            </w:r>
          </w:p>
        </w:tc>
        <w:tc>
          <w:tcPr>
            <w:tcW w:w="109" w:type="dxa"/>
            <w:tcBorders/>
            <w:shd w:fill="auto" w:val="clear"/>
            <w:vAlign w:val="center"/>
          </w:tcPr>
          <w:p>
            <w:pPr>
              <w:pStyle w:val="TableContents"/>
              <w:spacing w:lineRule="auto" w:line="304" w:before="96" w:after="96"/>
              <w:ind w:left="0" w:right="0" w:hanging="0"/>
              <w:rPr/>
            </w:pPr>
            <w:r>
              <w:rPr/>
              <w:t>​</w:t>
            </w:r>
          </w:p>
        </w:tc>
        <w:tc>
          <w:tcPr>
            <w:tcW w:w="51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shd w:fill="auto" w:val="clear"/>
            <w:vAlign w:val="center"/>
          </w:tcPr>
          <w:p>
            <w:pPr>
              <w:pStyle w:val="TableContents"/>
              <w:spacing w:lineRule="auto" w:line="304" w:before="96" w:after="96"/>
              <w:ind w:left="0" w:right="0" w:hanging="0"/>
              <w:jc w:val="center"/>
              <w:rPr/>
            </w:pPr>
            <w:r>
              <w:rPr/>
              <w:t>​</w:t>
            </w:r>
          </w:p>
        </w:tc>
        <w:tc>
          <w:tcPr>
            <w:tcW w:w="96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45</w:t>
            </w:r>
          </w:p>
        </w:tc>
        <w:tc>
          <w:tcPr>
            <w:tcW w:w="109" w:type="dxa"/>
            <w:tcBorders/>
            <w:shd w:fill="auto" w:val="clear"/>
            <w:vAlign w:val="center"/>
          </w:tcPr>
          <w:p>
            <w:pPr>
              <w:pStyle w:val="TableContents"/>
              <w:spacing w:lineRule="auto" w:line="304" w:before="96" w:after="96"/>
              <w:ind w:left="0" w:right="0" w:hanging="0"/>
              <w:jc w:val="center"/>
              <w:rPr/>
            </w:pPr>
            <w:r>
              <w:rPr/>
              <w:t>​</w:t>
            </w:r>
          </w:p>
        </w:tc>
        <w:tc>
          <w:tcPr>
            <w:tcW w:w="60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9</w:t>
            </w:r>
          </w:p>
        </w:tc>
        <w:tc>
          <w:tcPr>
            <w:tcW w:w="109" w:type="dxa"/>
            <w:tcBorders/>
            <w:shd w:fill="auto" w:val="clear"/>
            <w:vAlign w:val="center"/>
          </w:tcPr>
          <w:p>
            <w:pPr>
              <w:pStyle w:val="TableContents"/>
              <w:spacing w:lineRule="auto" w:line="304" w:before="96" w:after="96"/>
              <w:ind w:left="0" w:right="0" w:hanging="0"/>
              <w:rPr/>
            </w:pPr>
            <w:r>
              <w:rPr/>
              <w:t>​</w:t>
            </w:r>
          </w:p>
        </w:tc>
        <w:tc>
          <w:tcPr>
            <w:tcW w:w="781" w:type="dxa"/>
            <w:tcBorders/>
            <w:shd w:fill="auto"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8,235</w:t>
            </w:r>
          </w:p>
        </w:tc>
        <w:tc>
          <w:tcPr>
            <w:tcW w:w="191" w:type="dxa"/>
            <w:tcBorders/>
            <w:shd w:fill="auto" w:val="clear"/>
            <w:vAlign w:val="center"/>
          </w:tcPr>
          <w:p>
            <w:pPr>
              <w:pStyle w:val="TableContents"/>
              <w:spacing w:lineRule="auto" w:line="304" w:before="96" w:after="96"/>
              <w:ind w:left="0" w:right="0" w:hanging="0"/>
              <w:rPr/>
            </w:pPr>
            <w:r>
              <w:rPr/>
              <w:t>​</w:t>
            </w:r>
          </w:p>
        </w:tc>
      </w:tr>
      <w:tr>
        <w:trPr/>
        <w:tc>
          <w:tcPr>
            <w:tcW w:w="1516" w:type="dxa"/>
            <w:tcBorders/>
            <w:shd w:fill="CCEEFF" w:val="clear"/>
            <w:vAlign w:val="center"/>
          </w:tcPr>
          <w:p>
            <w:pPr>
              <w:pStyle w:val="TableContents"/>
              <w:pBdr/>
              <w:spacing w:lineRule="auto" w:line="304" w:before="48" w:after="48"/>
              <w:ind w:left="100" w:right="0" w:hanging="144"/>
              <w:jc w:val="center"/>
              <w:rPr/>
            </w:pPr>
            <w:r>
              <w:rPr/>
              <w:drawing>
                <wp:inline distT="0" distB="0" distL="0" distR="0">
                  <wp:extent cx="607060" cy="12255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607060" cy="122555"/>
                          </a:xfrm>
                          <a:prstGeom prst="rect">
                            <a:avLst/>
                          </a:prstGeom>
                        </pic:spPr>
                      </pic:pic>
                    </a:graphicData>
                  </a:graphic>
                </wp:inline>
              </w:drawing>
            </w:r>
          </w:p>
          <w:p>
            <w:pPr>
              <w:pStyle w:val="TableContents"/>
              <w:pBdr/>
              <w:spacing w:lineRule="auto" w:line="304" w:before="48" w:after="48"/>
              <w:ind w:left="0" w:right="0" w:hanging="0"/>
              <w:jc w:val="center"/>
              <w:rPr>
                <w:rFonts w:ascii="Times New Roman;Times;serif" w:hAnsi="Times New Roman;Times;serif"/>
                <w:b/>
                <w:sz w:val="20"/>
              </w:rPr>
            </w:pPr>
            <w:r>
              <w:rPr>
                <w:rFonts w:ascii="Times New Roman;Times;serif" w:hAnsi="Times New Roman;Times;serif"/>
                <w:b/>
                <w:sz w:val="20"/>
              </w:rPr>
              <w:t>ZHOTEL</w:t>
            </w:r>
          </w:p>
        </w:tc>
        <w:tc>
          <w:tcPr>
            <w:tcW w:w="109" w:type="dxa"/>
            <w:tcBorders/>
            <w:shd w:fill="CCEEFF" w:val="clear"/>
            <w:vAlign w:val="center"/>
          </w:tcPr>
          <w:p>
            <w:pPr>
              <w:pStyle w:val="TableContents"/>
              <w:spacing w:lineRule="auto" w:line="304" w:before="96" w:after="96"/>
              <w:ind w:left="0" w:right="0" w:hanging="0"/>
              <w:rPr/>
            </w:pPr>
            <w:r>
              <w:rPr/>
              <w:t>​</w:t>
            </w:r>
          </w:p>
        </w:tc>
        <w:tc>
          <w:tcPr>
            <w:tcW w:w="1366" w:type="dxa"/>
            <w:tcBorders/>
            <w:shd w:fill="CCEEFF" w:val="clear"/>
            <w:vAlign w:val="center"/>
          </w:tcPr>
          <w:p>
            <w:pPr>
              <w:pStyle w:val="TableContents"/>
              <w:spacing w:lineRule="auto" w:line="304" w:before="96" w:after="96"/>
              <w:ind w:left="0" w:right="0" w:hanging="0"/>
              <w:rPr>
                <w:rFonts w:ascii="Times New Roman;Times;serif" w:hAnsi="Times New Roman;Times;serif"/>
                <w:sz w:val="20"/>
              </w:rPr>
            </w:pPr>
            <w:r>
              <w:rPr>
                <w:rFonts w:ascii="Times New Roman;Times;serif" w:hAnsi="Times New Roman;Times;serif"/>
                <w:sz w:val="20"/>
              </w:rPr>
              <w:t>Upscale</w:t>
            </w:r>
          </w:p>
        </w:tc>
        <w:tc>
          <w:tcPr>
            <w:tcW w:w="109" w:type="dxa"/>
            <w:tcBorders/>
            <w:shd w:fill="CCEEFF" w:val="clear"/>
            <w:vAlign w:val="center"/>
          </w:tcPr>
          <w:p>
            <w:pPr>
              <w:pStyle w:val="TableContents"/>
              <w:spacing w:lineRule="auto" w:line="304" w:before="96" w:after="96"/>
              <w:ind w:left="0" w:right="0" w:hanging="0"/>
              <w:rPr/>
            </w:pPr>
            <w:r>
              <w:rPr/>
              <w:t>​</w:t>
            </w:r>
          </w:p>
        </w:tc>
        <w:tc>
          <w:tcPr>
            <w:tcW w:w="51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96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601" w:type="dxa"/>
            <w:tcBorders/>
            <w:shd w:fill="CCEEFF" w:val="clear"/>
            <w:vAlign w:val="center"/>
          </w:tcPr>
          <w:p>
            <w:pPr>
              <w:pStyle w:val="TableContents"/>
              <w:spacing w:lineRule="auto" w:line="304" w:before="96" w:after="96"/>
              <w:ind w:left="0" w:right="0" w:hanging="0"/>
              <w:jc w:val="center"/>
              <w:rPr/>
            </w:pPr>
            <w:r>
              <w:rPr/>
              <w:t>—</w:t>
            </w:r>
          </w:p>
        </w:tc>
        <w:tc>
          <w:tcPr>
            <w:tcW w:w="109" w:type="dxa"/>
            <w:tcBorders/>
            <w:shd w:fill="CCEEFF" w:val="clear"/>
            <w:vAlign w:val="center"/>
          </w:tcPr>
          <w:p>
            <w:pPr>
              <w:pStyle w:val="TableContents"/>
              <w:spacing w:lineRule="auto" w:line="304" w:before="96" w:after="96"/>
              <w:ind w:left="0" w:right="0" w:hanging="0"/>
              <w:rPr/>
            </w:pPr>
            <w:r>
              <w:rPr/>
              <w:t>​</w:t>
            </w:r>
          </w:p>
        </w:tc>
        <w:tc>
          <w:tcPr>
            <w:tcW w:w="781" w:type="dxa"/>
            <w:tcBorders/>
            <w:shd w:fill="CCEEFF"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52</w:t>
            </w:r>
          </w:p>
        </w:tc>
        <w:tc>
          <w:tcPr>
            <w:tcW w:w="191" w:type="dxa"/>
            <w:tcBorders/>
            <w:shd w:fill="CCEEFF" w:val="clear"/>
            <w:vAlign w:val="center"/>
          </w:tcPr>
          <w:p>
            <w:pPr>
              <w:pStyle w:val="TableContents"/>
              <w:spacing w:lineRule="auto" w:line="304" w:before="96" w:after="96"/>
              <w:ind w:left="0" w:right="0" w:hanging="0"/>
              <w:rPr/>
            </w:pPr>
            <w:r>
              <w:rPr/>
              <w:t>​</w:t>
            </w:r>
          </w:p>
        </w:tc>
      </w:tr>
      <w:tr>
        <w:trPr/>
        <w:tc>
          <w:tcPr>
            <w:tcW w:w="1516" w:type="dxa"/>
            <w:tcBorders/>
            <w:shd w:fill="auto" w:val="clear"/>
            <w:vAlign w:val="center"/>
          </w:tcPr>
          <w:p>
            <w:pPr>
              <w:pStyle w:val="TableContents"/>
              <w:pBdr/>
              <w:spacing w:lineRule="auto" w:line="304" w:before="48" w:after="48"/>
              <w:ind w:left="100" w:right="0" w:hanging="144"/>
              <w:jc w:val="center"/>
              <w:rPr/>
            </w:pPr>
            <w:r>
              <w:rPr/>
              <w:drawing>
                <wp:inline distT="0" distB="0" distL="0" distR="0">
                  <wp:extent cx="230505" cy="21844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230505" cy="218440"/>
                          </a:xfrm>
                          <a:prstGeom prst="rect">
                            <a:avLst/>
                          </a:prstGeom>
                        </pic:spPr>
                      </pic:pic>
                    </a:graphicData>
                  </a:graphic>
                </wp:inline>
              </w:drawing>
            </w:r>
          </w:p>
          <w:p>
            <w:pPr>
              <w:pStyle w:val="TableContents"/>
              <w:pBdr/>
              <w:spacing w:lineRule="auto" w:line="304" w:before="48" w:after="48"/>
              <w:ind w:left="0" w:right="0" w:hanging="0"/>
              <w:jc w:val="center"/>
              <w:rPr>
                <w:rFonts w:ascii="Times New Roman;Times;serif" w:hAnsi="Times New Roman;Times;serif"/>
                <w:b/>
                <w:sz w:val="20"/>
              </w:rPr>
            </w:pPr>
            <w:r>
              <w:rPr>
                <w:rFonts w:ascii="Times New Roman;Times;serif" w:hAnsi="Times New Roman;Times;serif"/>
                <w:b/>
                <w:sz w:val="20"/>
              </w:rPr>
              <w:t>Atour (Flagship)</w:t>
            </w:r>
          </w:p>
        </w:tc>
        <w:tc>
          <w:tcPr>
            <w:tcW w:w="109" w:type="dxa"/>
            <w:tcBorders/>
            <w:shd w:fill="auto" w:val="clear"/>
            <w:vAlign w:val="center"/>
          </w:tcPr>
          <w:p>
            <w:pPr>
              <w:pStyle w:val="TableContents"/>
              <w:spacing w:lineRule="auto" w:line="304" w:before="96" w:after="96"/>
              <w:ind w:left="0" w:right="0" w:hanging="0"/>
              <w:rPr/>
            </w:pPr>
            <w:r>
              <w:rPr/>
              <w:t>​</w:t>
            </w:r>
          </w:p>
        </w:tc>
        <w:tc>
          <w:tcPr>
            <w:tcW w:w="1366" w:type="dxa"/>
            <w:tcBorders/>
            <w:shd w:fill="auto" w:val="clear"/>
            <w:vAlign w:val="center"/>
          </w:tcPr>
          <w:p>
            <w:pPr>
              <w:pStyle w:val="TableContents"/>
              <w:spacing w:lineRule="auto" w:line="304" w:before="96" w:after="96"/>
              <w:ind w:left="0" w:right="0" w:hanging="0"/>
              <w:rPr>
                <w:rFonts w:ascii="Times New Roman;Times;serif" w:hAnsi="Times New Roman;Times;serif"/>
                <w:sz w:val="20"/>
              </w:rPr>
            </w:pPr>
            <w:r>
              <w:rPr>
                <w:rFonts w:ascii="Times New Roman;Times;serif" w:hAnsi="Times New Roman;Times;serif"/>
                <w:sz w:val="20"/>
              </w:rPr>
              <w:t>Upper midscale</w:t>
            </w:r>
          </w:p>
        </w:tc>
        <w:tc>
          <w:tcPr>
            <w:tcW w:w="109" w:type="dxa"/>
            <w:tcBorders/>
            <w:shd w:fill="auto" w:val="clear"/>
            <w:vAlign w:val="center"/>
          </w:tcPr>
          <w:p>
            <w:pPr>
              <w:pStyle w:val="TableContents"/>
              <w:spacing w:lineRule="auto" w:line="304" w:before="96" w:after="96"/>
              <w:ind w:left="0" w:right="0" w:hanging="0"/>
              <w:rPr/>
            </w:pPr>
            <w:r>
              <w:rPr/>
              <w:t>​</w:t>
            </w:r>
          </w:p>
        </w:tc>
        <w:tc>
          <w:tcPr>
            <w:tcW w:w="51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156</w:t>
            </w:r>
          </w:p>
        </w:tc>
        <w:tc>
          <w:tcPr>
            <w:tcW w:w="109" w:type="dxa"/>
            <w:tcBorders/>
            <w:shd w:fill="auto" w:val="clear"/>
            <w:vAlign w:val="center"/>
          </w:tcPr>
          <w:p>
            <w:pPr>
              <w:pStyle w:val="TableContents"/>
              <w:spacing w:lineRule="auto" w:line="304" w:before="96" w:after="96"/>
              <w:ind w:left="0" w:right="0" w:hanging="0"/>
              <w:jc w:val="center"/>
              <w:rPr/>
            </w:pPr>
            <w:r>
              <w:rPr/>
              <w:t>​</w:t>
            </w:r>
          </w:p>
        </w:tc>
        <w:tc>
          <w:tcPr>
            <w:tcW w:w="96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731</w:t>
            </w:r>
          </w:p>
        </w:tc>
        <w:tc>
          <w:tcPr>
            <w:tcW w:w="109" w:type="dxa"/>
            <w:tcBorders/>
            <w:shd w:fill="auto" w:val="clear"/>
            <w:vAlign w:val="center"/>
          </w:tcPr>
          <w:p>
            <w:pPr>
              <w:pStyle w:val="TableContents"/>
              <w:spacing w:lineRule="auto" w:line="304" w:before="96" w:after="96"/>
              <w:ind w:left="0" w:right="0" w:hanging="0"/>
              <w:jc w:val="center"/>
              <w:rPr/>
            </w:pPr>
            <w:r>
              <w:rPr/>
              <w:t>​</w:t>
            </w:r>
          </w:p>
        </w:tc>
        <w:tc>
          <w:tcPr>
            <w:tcW w:w="60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22</w:t>
            </w:r>
          </w:p>
        </w:tc>
        <w:tc>
          <w:tcPr>
            <w:tcW w:w="109" w:type="dxa"/>
            <w:tcBorders/>
            <w:shd w:fill="auto" w:val="clear"/>
            <w:vAlign w:val="center"/>
          </w:tcPr>
          <w:p>
            <w:pPr>
              <w:pStyle w:val="TableContents"/>
              <w:spacing w:lineRule="auto" w:line="304" w:before="96" w:after="96"/>
              <w:ind w:left="0" w:right="0" w:hanging="0"/>
              <w:rPr/>
            </w:pPr>
            <w:r>
              <w:rPr/>
              <w:t>​</w:t>
            </w:r>
          </w:p>
        </w:tc>
        <w:tc>
          <w:tcPr>
            <w:tcW w:w="781" w:type="dxa"/>
            <w:tcBorders/>
            <w:shd w:fill="auto"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87,709</w:t>
            </w:r>
          </w:p>
        </w:tc>
        <w:tc>
          <w:tcPr>
            <w:tcW w:w="191" w:type="dxa"/>
            <w:tcBorders/>
            <w:shd w:fill="auto" w:val="clear"/>
            <w:vAlign w:val="center"/>
          </w:tcPr>
          <w:p>
            <w:pPr>
              <w:pStyle w:val="TableContents"/>
              <w:spacing w:lineRule="auto" w:line="304" w:before="96" w:after="96"/>
              <w:ind w:left="0" w:right="0" w:hanging="0"/>
              <w:rPr/>
            </w:pPr>
            <w:r>
              <w:rPr/>
              <w:t>​</w:t>
            </w:r>
          </w:p>
        </w:tc>
      </w:tr>
      <w:tr>
        <w:trPr/>
        <w:tc>
          <w:tcPr>
            <w:tcW w:w="1516" w:type="dxa"/>
            <w:tcBorders/>
            <w:shd w:fill="CCEEFF" w:val="clear"/>
            <w:vAlign w:val="center"/>
          </w:tcPr>
          <w:p>
            <w:pPr>
              <w:pStyle w:val="TableContents"/>
              <w:pBdr/>
              <w:spacing w:lineRule="auto" w:line="304" w:before="48" w:after="48"/>
              <w:ind w:left="100" w:right="0" w:hanging="144"/>
              <w:jc w:val="center"/>
              <w:rPr/>
            </w:pPr>
            <w:r>
              <w:rPr/>
              <w:drawing>
                <wp:inline distT="0" distB="0" distL="0" distR="0">
                  <wp:extent cx="607060" cy="160655"/>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607060" cy="160655"/>
                          </a:xfrm>
                          <a:prstGeom prst="rect">
                            <a:avLst/>
                          </a:prstGeom>
                        </pic:spPr>
                      </pic:pic>
                    </a:graphicData>
                  </a:graphic>
                </wp:inline>
              </w:drawing>
            </w:r>
          </w:p>
          <w:p>
            <w:pPr>
              <w:pStyle w:val="TableContents"/>
              <w:pBdr/>
              <w:spacing w:lineRule="auto" w:line="304" w:before="48" w:after="48"/>
              <w:ind w:left="0" w:right="0" w:hanging="0"/>
              <w:jc w:val="center"/>
              <w:rPr>
                <w:rFonts w:ascii="Times New Roman;Times;serif" w:hAnsi="Times New Roman;Times;serif"/>
                <w:b/>
                <w:sz w:val="20"/>
              </w:rPr>
            </w:pPr>
            <w:r>
              <w:rPr>
                <w:rFonts w:ascii="Times New Roman;Times;serif" w:hAnsi="Times New Roman;Times;serif"/>
                <w:b/>
                <w:sz w:val="20"/>
              </w:rPr>
              <w:t>Atour X</w:t>
            </w:r>
          </w:p>
        </w:tc>
        <w:tc>
          <w:tcPr>
            <w:tcW w:w="109" w:type="dxa"/>
            <w:tcBorders/>
            <w:shd w:fill="CCEEFF" w:val="clear"/>
            <w:vAlign w:val="center"/>
          </w:tcPr>
          <w:p>
            <w:pPr>
              <w:pStyle w:val="TableContents"/>
              <w:spacing w:lineRule="auto" w:line="304" w:before="96" w:after="96"/>
              <w:ind w:left="0" w:right="0" w:hanging="0"/>
              <w:rPr/>
            </w:pPr>
            <w:r>
              <w:rPr/>
              <w:t>​</w:t>
            </w:r>
          </w:p>
        </w:tc>
        <w:tc>
          <w:tcPr>
            <w:tcW w:w="1366" w:type="dxa"/>
            <w:tcBorders/>
            <w:shd w:fill="CCEEFF" w:val="clear"/>
            <w:vAlign w:val="center"/>
          </w:tcPr>
          <w:p>
            <w:pPr>
              <w:pStyle w:val="TableContents"/>
              <w:spacing w:lineRule="auto" w:line="304" w:before="96" w:after="96"/>
              <w:ind w:left="0" w:right="0" w:hanging="0"/>
              <w:rPr>
                <w:rFonts w:ascii="Times New Roman;Times;serif" w:hAnsi="Times New Roman;Times;serif"/>
                <w:sz w:val="20"/>
              </w:rPr>
            </w:pPr>
            <w:r>
              <w:rPr>
                <w:rFonts w:ascii="Times New Roman;Times;serif" w:hAnsi="Times New Roman;Times;serif"/>
                <w:sz w:val="20"/>
              </w:rPr>
              <w:t>Upper midscale</w:t>
            </w:r>
          </w:p>
        </w:tc>
        <w:tc>
          <w:tcPr>
            <w:tcW w:w="109" w:type="dxa"/>
            <w:tcBorders/>
            <w:shd w:fill="CCEEFF" w:val="clear"/>
            <w:vAlign w:val="center"/>
          </w:tcPr>
          <w:p>
            <w:pPr>
              <w:pStyle w:val="TableContents"/>
              <w:spacing w:lineRule="auto" w:line="304" w:before="96" w:after="96"/>
              <w:ind w:left="0" w:right="0" w:hanging="0"/>
              <w:rPr/>
            </w:pPr>
            <w:r>
              <w:rPr/>
              <w:t>​</w:t>
            </w:r>
          </w:p>
        </w:tc>
        <w:tc>
          <w:tcPr>
            <w:tcW w:w="51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96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601" w:type="dxa"/>
            <w:tcBorders/>
            <w:shd w:fill="CCEEFF" w:val="clear"/>
            <w:vAlign w:val="center"/>
          </w:tcPr>
          <w:p>
            <w:pPr>
              <w:pStyle w:val="TableContents"/>
              <w:spacing w:lineRule="auto" w:line="304" w:before="96" w:after="96"/>
              <w:ind w:left="0" w:right="0" w:hanging="0"/>
              <w:jc w:val="center"/>
              <w:rPr/>
            </w:pPr>
            <w:r>
              <w:rPr/>
              <w:t>—</w:t>
            </w:r>
          </w:p>
        </w:tc>
        <w:tc>
          <w:tcPr>
            <w:tcW w:w="109" w:type="dxa"/>
            <w:tcBorders/>
            <w:shd w:fill="CCEEFF" w:val="clear"/>
            <w:vAlign w:val="center"/>
          </w:tcPr>
          <w:p>
            <w:pPr>
              <w:pStyle w:val="TableContents"/>
              <w:spacing w:lineRule="auto" w:line="304" w:before="96" w:after="96"/>
              <w:ind w:left="0" w:right="0" w:hanging="0"/>
              <w:rPr/>
            </w:pPr>
            <w:r>
              <w:rPr/>
              <w:t>​</w:t>
            </w:r>
          </w:p>
        </w:tc>
        <w:tc>
          <w:tcPr>
            <w:tcW w:w="781" w:type="dxa"/>
            <w:tcBorders/>
            <w:shd w:fill="CCEEFF"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4,893</w:t>
            </w:r>
          </w:p>
        </w:tc>
        <w:tc>
          <w:tcPr>
            <w:tcW w:w="191" w:type="dxa"/>
            <w:tcBorders/>
            <w:shd w:fill="CCEEFF" w:val="clear"/>
            <w:vAlign w:val="center"/>
          </w:tcPr>
          <w:p>
            <w:pPr>
              <w:pStyle w:val="TableContents"/>
              <w:spacing w:lineRule="auto" w:line="304" w:before="96" w:after="96"/>
              <w:ind w:left="0" w:right="0" w:hanging="0"/>
              <w:rPr/>
            </w:pPr>
            <w:r>
              <w:rPr/>
              <w:t>​</w:t>
            </w:r>
          </w:p>
        </w:tc>
      </w:tr>
      <w:tr>
        <w:trPr/>
        <w:tc>
          <w:tcPr>
            <w:tcW w:w="1516" w:type="dxa"/>
            <w:tcBorders/>
            <w:shd w:fill="auto" w:val="clear"/>
            <w:vAlign w:val="center"/>
          </w:tcPr>
          <w:p>
            <w:pPr>
              <w:pStyle w:val="TableContents"/>
              <w:pBdr/>
              <w:spacing w:lineRule="auto" w:line="304" w:before="48" w:after="48"/>
              <w:ind w:left="100" w:right="0" w:hanging="144"/>
              <w:jc w:val="center"/>
              <w:rPr/>
            </w:pPr>
            <w:r>
              <w:rPr/>
              <w:drawing>
                <wp:inline distT="0" distB="0" distL="0" distR="0">
                  <wp:extent cx="477520" cy="188595"/>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477520" cy="188595"/>
                          </a:xfrm>
                          <a:prstGeom prst="rect">
                            <a:avLst/>
                          </a:prstGeom>
                        </pic:spPr>
                      </pic:pic>
                    </a:graphicData>
                  </a:graphic>
                </wp:inline>
              </w:drawing>
            </w:r>
          </w:p>
          <w:p>
            <w:pPr>
              <w:pStyle w:val="TableContents"/>
              <w:pBdr/>
              <w:spacing w:lineRule="auto" w:line="304" w:before="48" w:after="48"/>
              <w:ind w:left="0" w:right="0" w:hanging="0"/>
              <w:jc w:val="center"/>
              <w:rPr>
                <w:rFonts w:ascii="Times New Roman;Times;serif" w:hAnsi="Times New Roman;Times;serif"/>
                <w:b/>
                <w:sz w:val="20"/>
              </w:rPr>
            </w:pPr>
            <w:r>
              <w:rPr>
                <w:rFonts w:ascii="Times New Roman;Times;serif" w:hAnsi="Times New Roman;Times;serif"/>
                <w:b/>
                <w:sz w:val="20"/>
              </w:rPr>
              <w:t>Atour Light</w:t>
            </w:r>
          </w:p>
        </w:tc>
        <w:tc>
          <w:tcPr>
            <w:tcW w:w="109" w:type="dxa"/>
            <w:tcBorders/>
            <w:shd w:fill="auto" w:val="clear"/>
            <w:vAlign w:val="center"/>
          </w:tcPr>
          <w:p>
            <w:pPr>
              <w:pStyle w:val="TableContents"/>
              <w:spacing w:lineRule="auto" w:line="304" w:before="96" w:after="96"/>
              <w:ind w:left="0" w:right="0" w:hanging="0"/>
              <w:rPr/>
            </w:pPr>
            <w:r>
              <w:rPr/>
              <w:t>​</w:t>
            </w:r>
          </w:p>
        </w:tc>
        <w:tc>
          <w:tcPr>
            <w:tcW w:w="1366" w:type="dxa"/>
            <w:tcBorders/>
            <w:shd w:fill="auto" w:val="clear"/>
            <w:vAlign w:val="center"/>
          </w:tcPr>
          <w:p>
            <w:pPr>
              <w:pStyle w:val="TableContents"/>
              <w:spacing w:lineRule="auto" w:line="304" w:before="96" w:after="96"/>
              <w:ind w:left="0" w:right="0" w:hanging="0"/>
              <w:rPr>
                <w:rFonts w:ascii="Times New Roman;Times;serif" w:hAnsi="Times New Roman;Times;serif"/>
                <w:sz w:val="20"/>
              </w:rPr>
            </w:pPr>
            <w:r>
              <w:rPr>
                <w:rFonts w:ascii="Times New Roman;Times;serif" w:hAnsi="Times New Roman;Times;serif"/>
                <w:sz w:val="20"/>
              </w:rPr>
              <w:t>Midscale</w:t>
            </w:r>
          </w:p>
        </w:tc>
        <w:tc>
          <w:tcPr>
            <w:tcW w:w="109" w:type="dxa"/>
            <w:tcBorders/>
            <w:shd w:fill="auto" w:val="clear"/>
            <w:vAlign w:val="center"/>
          </w:tcPr>
          <w:p>
            <w:pPr>
              <w:pStyle w:val="TableContents"/>
              <w:spacing w:lineRule="auto" w:line="304" w:before="96" w:after="96"/>
              <w:ind w:left="0" w:right="0" w:hanging="0"/>
              <w:rPr/>
            </w:pPr>
            <w:r>
              <w:rPr/>
              <w:t>​</w:t>
            </w:r>
          </w:p>
        </w:tc>
        <w:tc>
          <w:tcPr>
            <w:tcW w:w="51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30</w:t>
            </w:r>
          </w:p>
        </w:tc>
        <w:tc>
          <w:tcPr>
            <w:tcW w:w="109" w:type="dxa"/>
            <w:tcBorders/>
            <w:shd w:fill="auto" w:val="clear"/>
            <w:vAlign w:val="center"/>
          </w:tcPr>
          <w:p>
            <w:pPr>
              <w:pStyle w:val="TableContents"/>
              <w:spacing w:lineRule="auto" w:line="304" w:before="96" w:after="96"/>
              <w:ind w:left="0" w:right="0" w:hanging="0"/>
              <w:jc w:val="center"/>
              <w:rPr/>
            </w:pPr>
            <w:r>
              <w:rPr/>
              <w:t>​</w:t>
            </w:r>
          </w:p>
        </w:tc>
        <w:tc>
          <w:tcPr>
            <w:tcW w:w="96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74</w:t>
            </w:r>
          </w:p>
        </w:tc>
        <w:tc>
          <w:tcPr>
            <w:tcW w:w="109" w:type="dxa"/>
            <w:tcBorders/>
            <w:shd w:fill="auto" w:val="clear"/>
            <w:vAlign w:val="center"/>
          </w:tcPr>
          <w:p>
            <w:pPr>
              <w:pStyle w:val="TableContents"/>
              <w:spacing w:lineRule="auto" w:line="304" w:before="96" w:after="96"/>
              <w:ind w:left="0" w:right="0" w:hanging="0"/>
              <w:jc w:val="center"/>
              <w:rPr/>
            </w:pPr>
            <w:r>
              <w:rPr/>
              <w:t>​</w:t>
            </w:r>
          </w:p>
        </w:tc>
        <w:tc>
          <w:tcPr>
            <w:tcW w:w="601" w:type="dxa"/>
            <w:tcBorders/>
            <w:shd w:fill="auto"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auto" w:val="clear"/>
            <w:vAlign w:val="center"/>
          </w:tcPr>
          <w:p>
            <w:pPr>
              <w:pStyle w:val="TableContents"/>
              <w:spacing w:lineRule="auto" w:line="304" w:before="96" w:after="96"/>
              <w:ind w:left="0" w:right="0" w:hanging="0"/>
              <w:rPr/>
            </w:pPr>
            <w:r>
              <w:rPr/>
              <w:t>​</w:t>
            </w:r>
          </w:p>
        </w:tc>
        <w:tc>
          <w:tcPr>
            <w:tcW w:w="781" w:type="dxa"/>
            <w:tcBorders/>
            <w:shd w:fill="auto"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6,895</w:t>
            </w:r>
          </w:p>
        </w:tc>
        <w:tc>
          <w:tcPr>
            <w:tcW w:w="191" w:type="dxa"/>
            <w:tcBorders/>
            <w:shd w:fill="auto" w:val="clear"/>
            <w:vAlign w:val="center"/>
          </w:tcPr>
          <w:p>
            <w:pPr>
              <w:pStyle w:val="TableContents"/>
              <w:spacing w:lineRule="auto" w:line="304" w:before="96" w:after="96"/>
              <w:ind w:left="0" w:right="0" w:hanging="0"/>
              <w:rPr/>
            </w:pPr>
            <w:r>
              <w:rPr/>
              <w:t>​</w:t>
            </w:r>
          </w:p>
        </w:tc>
      </w:tr>
      <w:tr>
        <w:trPr/>
        <w:tc>
          <w:tcPr>
            <w:tcW w:w="1516" w:type="dxa"/>
            <w:tcBorders/>
            <w:shd w:fill="CCEEFF" w:val="clear"/>
            <w:vAlign w:val="center"/>
          </w:tcPr>
          <w:p>
            <w:pPr>
              <w:pStyle w:val="TableContents"/>
              <w:pBdr/>
              <w:spacing w:lineRule="auto" w:line="304" w:before="48" w:after="48"/>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spacing w:lineRule="auto" w:line="304" w:before="96" w:after="96"/>
              <w:ind w:left="0" w:right="0" w:hanging="0"/>
              <w:rPr/>
            </w:pPr>
            <w:r>
              <w:rPr/>
              <w:t>​</w:t>
            </w:r>
          </w:p>
        </w:tc>
        <w:tc>
          <w:tcPr>
            <w:tcW w:w="1366" w:type="dxa"/>
            <w:tcBorders/>
            <w:shd w:fill="CCEEFF" w:val="clear"/>
            <w:vAlign w:val="center"/>
          </w:tcPr>
          <w:p>
            <w:pPr>
              <w:pStyle w:val="TableContents"/>
              <w:spacing w:lineRule="auto" w:line="304" w:before="96" w:after="96"/>
              <w:ind w:left="0" w:right="0" w:hanging="0"/>
              <w:rPr/>
            </w:pPr>
            <w:r>
              <w:rPr/>
              <w:t>​</w:t>
            </w:r>
          </w:p>
        </w:tc>
        <w:tc>
          <w:tcPr>
            <w:tcW w:w="109" w:type="dxa"/>
            <w:tcBorders/>
            <w:shd w:fill="CCEEFF" w:val="clear"/>
            <w:vAlign w:val="center"/>
          </w:tcPr>
          <w:p>
            <w:pPr>
              <w:pStyle w:val="TableContents"/>
              <w:spacing w:lineRule="auto" w:line="304" w:before="96" w:after="96"/>
              <w:ind w:left="0" w:right="0" w:hanging="0"/>
              <w:rPr/>
            </w:pPr>
            <w:r>
              <w:rPr/>
              <w:t>​</w:t>
            </w:r>
          </w:p>
        </w:tc>
        <w:tc>
          <w:tcPr>
            <w:tcW w:w="51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163</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96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899</w:t>
            </w:r>
          </w:p>
        </w:tc>
        <w:tc>
          <w:tcPr>
            <w:tcW w:w="109" w:type="dxa"/>
            <w:tcBorders/>
            <w:shd w:fill="CCEEFF" w:val="clear"/>
            <w:vAlign w:val="center"/>
          </w:tcPr>
          <w:p>
            <w:pPr>
              <w:pStyle w:val="TableContents"/>
              <w:spacing w:lineRule="auto" w:line="304" w:before="96" w:after="96"/>
              <w:ind w:left="0" w:right="0" w:hanging="0"/>
              <w:jc w:val="center"/>
              <w:rPr/>
            </w:pPr>
            <w:r>
              <w:rPr/>
              <w:t>​</w:t>
            </w:r>
          </w:p>
        </w:tc>
        <w:tc>
          <w:tcPr>
            <w:tcW w:w="601" w:type="dxa"/>
            <w:tcBorders/>
            <w:shd w:fill="CCEEFF" w:val="clear"/>
            <w:vAlign w:val="center"/>
          </w:tcPr>
          <w:p>
            <w:pPr>
              <w:pStyle w:val="TableContents"/>
              <w:spacing w:lineRule="auto" w:line="304" w:before="96" w:after="96"/>
              <w:ind w:left="0" w:right="0" w:hanging="0"/>
              <w:jc w:val="center"/>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spacing w:lineRule="auto" w:line="304" w:before="96" w:after="96"/>
              <w:ind w:left="0" w:right="0" w:hanging="0"/>
              <w:rPr/>
            </w:pPr>
            <w:r>
              <w:rPr/>
              <w:t>​</w:t>
            </w:r>
          </w:p>
        </w:tc>
        <w:tc>
          <w:tcPr>
            <w:tcW w:w="781" w:type="dxa"/>
            <w:tcBorders/>
            <w:shd w:fill="CCEEFF" w:val="clear"/>
            <w:vAlign w:val="center"/>
          </w:tcPr>
          <w:p>
            <w:pPr>
              <w:pStyle w:val="TableContents"/>
              <w:spacing w:lineRule="auto" w:line="304" w:before="96" w:after="96"/>
              <w:ind w:left="0" w:right="0" w:hanging="0"/>
              <w:jc w:val="right"/>
              <w:rPr>
                <w:rFonts w:ascii="Times New Roman;Times;serif" w:hAnsi="Times New Roman;Times;serif"/>
                <w:sz w:val="20"/>
              </w:rPr>
            </w:pPr>
            <w:r>
              <w:rPr>
                <w:rFonts w:ascii="Times New Roman;Times;serif" w:hAnsi="Times New Roman;Times;serif"/>
                <w:sz w:val="20"/>
              </w:rPr>
              <w:t>107,998</w:t>
            </w:r>
          </w:p>
        </w:tc>
        <w:tc>
          <w:tcPr>
            <w:tcW w:w="191" w:type="dxa"/>
            <w:tcBorders/>
            <w:shd w:fill="CCEEFF" w:val="clear"/>
            <w:vAlign w:val="center"/>
          </w:tcPr>
          <w:p>
            <w:pPr>
              <w:pStyle w:val="TableContents"/>
              <w:spacing w:lineRule="auto" w:line="304" w:before="96" w:after="96"/>
              <w:ind w:left="0" w:right="0" w:hanging="0"/>
              <w:rPr/>
            </w:pPr>
            <w:r>
              <w:rPr/>
              <w:t>​</w:t>
            </w:r>
          </w:p>
        </w:tc>
      </w:tr>
    </w:tbl>
    <w:p>
      <w:pPr>
        <w:pStyle w:val="TextBody"/>
        <w:spacing w:before="0" w:after="0"/>
        <w:ind w:left="0" w:right="0" w:hanging="0"/>
        <w:rPr/>
      </w:pPr>
      <w:r>
        <w:rPr/>
        <w:t>​</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Atour Hotel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the heart of our hotel network is Atour Hotel, a timeless classic that we proudly call the Atour flagship brand. Atour Hotel represents an upper midscale hotel brand, designed for quality-conscious travelers who seek layers of customer experience that mixes comfort with a stylish vibe. With the debut of the first Atour Hotel in Xi’an in 2013, today our flagship brand spanned 156 cities across China as of December 31, 2022, mainly located in Tier 1, New Tier 1 and Tier 2 cities and premium commercial districts in the downtown areas of lower-tier cities in China, with an ADR of RMB383.0 in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Atour Hotel features tasteful, locally-inspired designs. Our spacious guest rooms typically have an area of approximately 25 square meters, with some as large as 35 square meters. These rooms are thoughtfully decorated to “invite the city in,” with artworks created by local artists and other touches on details that reflect the design vocabulary of the region, bringing guests closer to the neighborhood they are staying in. The public area in an Atour Hotel typically has an area of 400 square meters and houses standard amenities, including on-premise restaurants offering local breakfast, laundry room, and fitness room. In addition, we also operate a library that opens 24/7 - a space that we call the “cultural epicentre” of the property, allowing our guests to relaxingly discover the roots in the culture and attitude of the city they are visiting.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753 Atour Hotels in operation with a total of 87,709 guest rooms. As of the same date, we also had 274 Atour Hotels under development with a total of 29,770 guest rooms.</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Atour 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position Atour S as an upscale hotel brand that primarily serves high-end business and leisure travelers. It offers the same inspiring experience of a standard Atour Hotel, only better. We first introduced the Atour S brand in 2016. Since then, its network had been expanded to cover 21 cities across China as of December 31, 2022, mainly located in premium commercial districts in the downtown areas in Tier 1, New Tier 1 and Tier 2 cities in China, with an ADR of RMB493.9 in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Loyal to the best elements of local designs and cultures, Atour S is committed to setting the standard for a fully upgraded customer experience for any discerning travelers, with more spacious and meticulously designed rooms and top-quality amenities. Guest rooms typically have an area of 27-30 square meters, and public area typically have an area of 800-1,000 square meters, much larger than that in a traditional Atour Hotel.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54 Atour S Hotels with a total of 8,235 guest rooms. As of the same date, we also had 22 Atour S Hotels under development with a total of 2,931 guest rooms.</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Atour Light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Atour Light is our midscale hotel brand with a cheerful spirit, primarily catering to young urban travelers seeking the best value and experience. We first introduced the Atour Light Hotel in 2016, and since then its footprint had been expanded to cover 30 cities across China as of December 31, 2022. Our Atour Light hotels currently are mainly located in Tier 1, New Tier 1 and Tier 2 cities and premium commercial districts in the downtown areas of lower-tier cities in China, with an ADR of RMB355.4 in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public area in Atour Light Hotels is thoughtfully designed to be a dynamic multi-use space. Approximately 25% larger than the public area in a standard Atour Hotel, it can be used as a buffet restaurant in the morning, a lounge in the afternoon for casual talks and working on laptops, and a bar at night for guests to relax. Designed to serve as a vibrant social hub, such public area is open to the local community. We also offer compact and design efficient guest rooms that are smaller than those in a standard Atour Hotel, yet with the same uncompromised comfort like all other Atour brands. In addition, guest rooms are designed to be technology-friendly that allow efficient control of lighting, air conditioning and guest services through intuitive touch panel interfaces.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75 Atour Light Hotels in operation with a total of 6,895 guest rooms. As of the same date, we also had 36 Atour Light Hotels under development with a total of 3,211 guest rooms.</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Atour X Hotel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Atour X Hotel is our upper midscale hotel brand, created by converting existing boutique hotel properties on the market into “Atour” hotels adhering to the same standards of services and offerings, while maintaining its original design elements. We first introduced the Atour X brand in September 2020. As of December 31, 2022, it could be found in 32 cities across China, with an ADR of RMB398.0 in 2022.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birth of Atour X Hotels marked our commitment to further expand in the upper midscale hospitality market. We keep the flavorful and diversified design of the existing hotel properties, while applying our uniform service standards to ensure service quality and consistency.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48 Atour X Hotels with a total of 4,893 guest rooms. As of the same date, we also had 31 Atour X Hotels under development with a total of 3,373 guest rooms.</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ZHOTEL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ZHOTEL is an upscale hotel brand launched in September 2020, custom-made for the rising Generation-Z guests. Under our ZHOTEL brand, we create an organic space where stylish rooms, vibrant lounges, innovative cocktails, novel cuisine, trendy music, original art, and lifestyle shopping are all combined in one destination, encouraging our young guests to immerse themselves in a lively and happening place. As of December 31, 2022, we had one hotel under the ZHOTEL brand with a total of 52 guest rooms. The hotel under our ZHOTEL brand had an ADR of RMB534.9 in 2022.</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A.T. House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House is our first full-service luxury hotel brand, which aims to become a luxury lifestyle destination that appeals to the young generation requesting uniqueness in every aspect of hotel service offerings. Our first A.T. House opened in Shanghai in July 2021 with 214 rooms available. Upon debut, our A.T. House has achieved an initial market success with an ADR of RMB751.9 in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Defying the conventional norm of luxury, A.T. House is focused on creating and promoting a pulsating and design-driven lifestyle culture - inducing an air of creativity and adhering to our guests’ affinity for fashion, music, movie and other forms of art. Guest rooms will be larger than those in a standard Atour Hotel and comes with a living area, bringing a sense of home to our guests. The public area will also be more spacious than that in our standard Atour Hotel, and comes with two banquet halls, all-day dining, as well as other well-being amenities.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A Standardized Approach to Personalized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deliver effective personalized services, we strive to keep up with the changing preferences of guests and make innovations a part of the regular customer experience. On the other hand, standardization is not just about less complex, more cost-effective operations. Effective standardized operations complement the delivery of personalized services, substantially improving customer experience.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do this by forging meaningful connections with guests through differentiated consistency.</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Multiple touchpoints delivering a customized experience with efficiency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the heart of our personalized services is the presence of humanness. Our hotels employ a team of professional service staff who are energetic and considerate when serving our guests, but without being over the top or crossing the lines. Our on-site managers are responsible for implementing a series of service standards to promote interactions with our guests. This leads to a better understanding of our guests’ preferences, which allows the staff to deliver a customized experience that can have a stimulating influence upon the guest’s moods and emotions.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extensive industry knowledge and operating know-how, we have distilled 17 touchpoints where guests are expected to have the most meaningful interactions with us - from the moment when they make their initial bookings through our mobile app, Weixin mini program or third-party platforms, to their check-ins at our hotels, from their calls for room services to seeing them off at the end of their stays. For each of the 17 guest touchpoints, including check-in experience, quality of guest supplies, and check-out experience, we have developed a specific operating manual that defies conventional luxury hotel SOPs with an elevated sense of humanness. To name a few, our hotel staff always welcome our guests with a cup of hot tea while they are waiting to be checked in, and offer them a bottle of warm water when they check out. Every morning, our hotel staff also have a couple of on-the-go breakfast packed and kept at the front desk so that guests who need to catch an early flight still get to enjoy their breakfast on the way to the airport. We have also introduced our A-plus customer service program, which encompasses a standard portfolio of personalized services exclusively offered to our members. Once joining the A-plus program, guests are able to comprehensively customize their requests and preferences prior to their arrival. We currently offer 25 A-plus customized services, including pre-set room temperature and aroma diffuser, and offerings of yoga mats or other sports equipment.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Instead of adopting unifying standards and simplifying guests down to a few simple types, we focus on gaining deep insights into the preferences of the young generations of customers to design and implement our standards and procedures that “give guests the keys” to further personalize their hotel experience, by adjusting certain aspects of service formerly controlled exclusively by the hotel. For our hotels’ on-site staff, we adopt and implement a simplified yet effective set of procedures that give the front-line staff the appropriate levels of freedom and discretion to identify and overcome challenges to understanding guest needs and deliver unique services based on these preferences. For example, each of our hotel staff is granted a budget each month that they may utilize in their discretion to help the guests with their unique requests, be it buying medicine for the guests or accompanying them to the hospital.</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Engaging our guests with A-Card- our loyalty program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Everything we do for our guests is instantly incorporated into our tier-based loyalty program - </w:t>
      </w:r>
      <w:r>
        <w:rPr>
          <w:rFonts w:ascii="Times New Roman;Times;serif" w:hAnsi="Times New Roman;Times;serif"/>
          <w:i/>
          <w:sz w:val="20"/>
        </w:rPr>
        <w:t>A-Card. A-Card</w:t>
      </w:r>
      <w:r>
        <w:rPr>
          <w:rFonts w:ascii="Times New Roman;Times;serif" w:hAnsi="Times New Roman;Times;serif"/>
          <w:sz w:val="20"/>
        </w:rPr>
        <w:t xml:space="preserve"> is a fully digitized membership program that unites all our hotel and lifestyle brands, builds customer loyalty, and allows us to provide more personalized experience to our members efficiently throughout their lifetime.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Members earn loyalty points with each stay at our hotels and each purchase of our lifestyle products. The loyalty points can be used to redeem awards including coupons and lifestyle products. In addition to loyalty points, we also offer our members </w:t>
      </w:r>
      <w:r>
        <w:rPr>
          <w:rFonts w:ascii="Times New Roman;Times;serif" w:hAnsi="Times New Roman;Times;serif"/>
          <w:i/>
          <w:sz w:val="20"/>
        </w:rPr>
        <w:t>Jimu</w:t>
      </w:r>
      <w:r>
        <w:rPr>
          <w:rFonts w:ascii="Times New Roman;Times;serif" w:hAnsi="Times New Roman;Times;serif"/>
          <w:sz w:val="20"/>
        </w:rPr>
        <w:t xml:space="preserve"> points, which are associated with membership tiers. We currently offer five tiers of membership from welcome level to infinite level, each corresponding to different classes of member benefits, privileges and rewards, including discounts of room rates, free breakfast, travel support and many more. Joining welcome level is completely free, and it takes six room-nights or 2,800 </w:t>
      </w:r>
      <w:r>
        <w:rPr>
          <w:rFonts w:ascii="Times New Roman;Times;serif" w:hAnsi="Times New Roman;Times;serif"/>
          <w:i/>
          <w:sz w:val="20"/>
        </w:rPr>
        <w:t xml:space="preserve">Jimu </w:t>
      </w:r>
      <w:r>
        <w:rPr>
          <w:rFonts w:ascii="Times New Roman;Times;serif" w:hAnsi="Times New Roman;Times;serif"/>
          <w:sz w:val="20"/>
        </w:rPr>
        <w:t xml:space="preserve">points to upgrade to the third tier - gold level. Alternatively, guests can also pay RMB199 to upgrade to gold level directly and enjoy the corresponding rewards. To maintain their membership tier, members need to stay at our hotels for a specified number of room-nights per year or have the requisite </w:t>
      </w:r>
      <w:r>
        <w:rPr>
          <w:rFonts w:ascii="Times New Roman;Times;serif" w:hAnsi="Times New Roman;Times;serif"/>
          <w:i/>
          <w:sz w:val="20"/>
        </w:rPr>
        <w:t>Jimu</w:t>
      </w:r>
      <w:r>
        <w:rPr>
          <w:rFonts w:ascii="Times New Roman;Times;serif" w:hAnsi="Times New Roman;Times;serif"/>
          <w:sz w:val="20"/>
        </w:rPr>
        <w:t xml:space="preserve"> points depending on their current membership tier.</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i/>
          <w:sz w:val="20"/>
        </w:rPr>
        <w:t>A-Card</w:t>
      </w:r>
      <w:r>
        <w:rPr>
          <w:rFonts w:ascii="Times New Roman;Times;serif" w:hAnsi="Times New Roman;Times;serif"/>
          <w:sz w:val="20"/>
        </w:rPr>
        <w:t xml:space="preserve"> members have great flexibility over how they redeem their membership rewards. Each reward has been completely redesigned in the format of a digital voucher, which enables our </w:t>
      </w:r>
      <w:r>
        <w:rPr>
          <w:rFonts w:ascii="Times New Roman;Times;serif" w:hAnsi="Times New Roman;Times;serif"/>
          <w:i/>
          <w:sz w:val="20"/>
        </w:rPr>
        <w:t>A-Card</w:t>
      </w:r>
      <w:r>
        <w:rPr>
          <w:rFonts w:ascii="Times New Roman;Times;serif" w:hAnsi="Times New Roman;Times;serif"/>
          <w:sz w:val="20"/>
        </w:rPr>
        <w:t xml:space="preserve"> members to have total freedom over when, where and how to use it - they can even give it away to someone else, including those who are new to our brand, which we believe further helps promote our brand to a broader audience. In addition to offering greater flexibility to our members, our digitally managed </w:t>
      </w:r>
      <w:r>
        <w:rPr>
          <w:rFonts w:ascii="Times New Roman;Times;serif" w:hAnsi="Times New Roman;Times;serif"/>
          <w:i/>
          <w:sz w:val="20"/>
        </w:rPr>
        <w:t>A-Card</w:t>
      </w:r>
      <w:r>
        <w:rPr>
          <w:rFonts w:ascii="Times New Roman;Times;serif" w:hAnsi="Times New Roman;Times;serif"/>
          <w:sz w:val="20"/>
        </w:rPr>
        <w:t xml:space="preserve"> loyalty program allows us to accumulate relevant data to better understand our existing members’ preferences. As of December 31, 2022, we had over 35 million registered individual members.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On top of our </w:t>
      </w:r>
      <w:r>
        <w:rPr>
          <w:rFonts w:ascii="Times New Roman;Times;serif" w:hAnsi="Times New Roman;Times;serif"/>
          <w:i/>
          <w:sz w:val="20"/>
        </w:rPr>
        <w:t>A-Card</w:t>
      </w:r>
      <w:r>
        <w:rPr>
          <w:rFonts w:ascii="Times New Roman;Times;serif" w:hAnsi="Times New Roman;Times;serif"/>
          <w:sz w:val="20"/>
        </w:rPr>
        <w:t xml:space="preserve"> loyalty program, we have also introduced our </w:t>
      </w:r>
      <w:r>
        <w:rPr>
          <w:rFonts w:ascii="Times New Roman;Times;serif" w:hAnsi="Times New Roman;Times;serif"/>
          <w:i/>
          <w:sz w:val="20"/>
        </w:rPr>
        <w:t>A-plus</w:t>
      </w:r>
      <w:r>
        <w:rPr>
          <w:rFonts w:ascii="Times New Roman;Times;serif" w:hAnsi="Times New Roman;Times;serif"/>
          <w:sz w:val="20"/>
        </w:rPr>
        <w:t xml:space="preserve"> customer service program, which encompasses a standard portfolio of personalized services exclusively offered to our members. Once joining the </w:t>
      </w:r>
      <w:r>
        <w:rPr>
          <w:rFonts w:ascii="Times New Roman;Times;serif" w:hAnsi="Times New Roman;Times;serif"/>
          <w:i/>
          <w:sz w:val="20"/>
        </w:rPr>
        <w:t>A-plus</w:t>
      </w:r>
      <w:r>
        <w:rPr>
          <w:rFonts w:ascii="Times New Roman;Times;serif" w:hAnsi="Times New Roman;Times;serif"/>
          <w:sz w:val="20"/>
        </w:rPr>
        <w:t xml:space="preserve"> program, guests are able to compressively customize their requests and preferences prior to their arrival. We currently offer 25 </w:t>
      </w:r>
      <w:r>
        <w:rPr>
          <w:rFonts w:ascii="Times New Roman;Times;serif" w:hAnsi="Times New Roman;Times;serif"/>
          <w:i/>
          <w:sz w:val="20"/>
        </w:rPr>
        <w:t>A-plus</w:t>
      </w:r>
      <w:r>
        <w:rPr>
          <w:rFonts w:ascii="Times New Roman;Times;serif" w:hAnsi="Times New Roman;Times;serif"/>
          <w:sz w:val="20"/>
        </w:rPr>
        <w:t xml:space="preserve"> customized services, including pre-setting room temperature, pre-setting aroma diffuser, and offerings of yoga mats or sports equipment.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i/>
          <w:sz w:val="20"/>
        </w:rPr>
        <w:t>A-Card</w:t>
      </w:r>
      <w:r>
        <w:rPr>
          <w:rFonts w:ascii="Times New Roman;Times;serif" w:hAnsi="Times New Roman;Times;serif"/>
          <w:sz w:val="20"/>
        </w:rPr>
        <w:t xml:space="preserve"> program helps us build customer loyalty and reduce our reliance on third-party OTAs. In 2022, over 80% of our room-nights were sold through our direct sales channels. The repurchase rate among our </w:t>
      </w:r>
      <w:r>
        <w:rPr>
          <w:rFonts w:ascii="Times New Roman;Times;serif" w:hAnsi="Times New Roman;Times;serif"/>
          <w:i/>
          <w:sz w:val="20"/>
        </w:rPr>
        <w:t>A-Card</w:t>
      </w:r>
      <w:r>
        <w:rPr>
          <w:rFonts w:ascii="Times New Roman;Times;serif" w:hAnsi="Times New Roman;Times;serif"/>
          <w:sz w:val="20"/>
        </w:rPr>
        <w:t xml:space="preserve"> members reached 58.3% in 2022, compared with 52.8% in 2021. “Repurchase rate among </w:t>
      </w:r>
      <w:r>
        <w:rPr>
          <w:rFonts w:ascii="Times New Roman;Times;serif" w:hAnsi="Times New Roman;Times;serif"/>
          <w:i/>
          <w:sz w:val="20"/>
        </w:rPr>
        <w:t>A-Card</w:t>
      </w:r>
      <w:r>
        <w:rPr>
          <w:rFonts w:ascii="Times New Roman;Times;serif" w:hAnsi="Times New Roman;Times;serif"/>
          <w:sz w:val="20"/>
        </w:rPr>
        <w:t xml:space="preserve"> members” is defined as the proportion of members who have made a second room reservation in the same year.</w:t>
      </w:r>
    </w:p>
    <w:p>
      <w:pPr>
        <w:pStyle w:val="TextBody"/>
        <w:spacing w:before="0" w:after="200"/>
        <w:ind w:left="187" w:right="0" w:hanging="0"/>
        <w:jc w:val="both"/>
        <w:rPr>
          <w:rFonts w:ascii="Times New Roman;Times;serif" w:hAnsi="Times New Roman;Times;serif"/>
          <w:b/>
          <w:i/>
          <w:sz w:val="20"/>
        </w:rPr>
      </w:pPr>
      <w:r>
        <w:rPr>
          <w:rFonts w:ascii="Times New Roman;Times;serif" w:hAnsi="Times New Roman;Times;serif"/>
          <w:b/>
          <w:i/>
          <w:sz w:val="20"/>
        </w:rPr>
        <w:t>Performance review system</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take our guests’ review and feedback seriously, especially the ones that help us better understand our guests. As part of the Atour SOPs, our customer experience department collects all the complaints left in the past 24 hours from our booking channels as well as social media platforms, compiles and sends them to each responsible hotel manager before 12 p.m. each day. Hotel managers are required to follow up with the guests who left the complaints within the next five hours, learn from them the potential areas for improvement, and submit a rectification plan addressing those issues for approval by our customer experience department. If the rectification plan is not approved, the responsible hotel managers are required to discuss, analyze and propose new plans in a dedicated Weixin/WeChat group. Through such dynamic performance review process, we keep improving our customer service to make sure we are meeting our guests’ expectations and the goals we set for ourselves.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also review the performance of each Atour hotel at the end of each year. If we determine some of the manachised hotels do not meet our required service standards, we have the right to terminate our agreements with the franchisees.</w:t>
      </w:r>
    </w:p>
    <w:p>
      <w:pPr>
        <w:pStyle w:val="TextBody"/>
        <w:spacing w:before="0" w:after="200"/>
        <w:ind w:left="187" w:right="0" w:hanging="0"/>
        <w:jc w:val="both"/>
        <w:rPr>
          <w:rFonts w:ascii="Times New Roman;Times;serif" w:hAnsi="Times New Roman;Times;serif"/>
          <w:b/>
          <w:i/>
          <w:sz w:val="20"/>
        </w:rPr>
      </w:pPr>
      <w:r>
        <w:rPr>
          <w:rFonts w:ascii="Times New Roman;Times;serif" w:hAnsi="Times New Roman;Times;serif"/>
          <w:b/>
          <w:i/>
          <w:sz w:val="20"/>
        </w:rPr>
        <w:t>Technology and digitalization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To further maximize efficiency, we were one of the first hoteliers in the hospitality industry to adopt a fully cloud-based digital management system. The following summarizes the key aspects of our technology infrastructure.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Central reservation system (CRS).</w:t>
      </w:r>
      <w:r>
        <w:rPr>
          <w:rFonts w:ascii="Times New Roman;Times;serif" w:hAnsi="Times New Roman;Times;serif"/>
          <w:sz w:val="20"/>
        </w:rPr>
        <w:t xml:space="preserve"> We have adopted a cloud-based, all-channel, real-time CRS available 24 hours a day, seven days a week. Our CRS is fully integrated with all of our booking channels, including our mobile app, Weixin/WeChat mini program, third-party platforms and other reservation partners. This effectively allows us to manage inventories, prices and reservations instantly across all major channels. The real-time inventory management module of the system improves the efficiency of reservations, enhances customer satisfaction and maximizes our profitability. The price management module allows us to set up rates at different levels (including property, market segments, booking channels and hotel brands) and distributes price adjustments and promotional offers to all major channels simultaneously, which greatly increases efficiency in managing all our booking channels and enhances our ability to optimize total profit. In addition, our CRS comes with an embedded business intelligence module, which allows our hotel staff to monitor and analyze the core operational metrics and make well-informed business decisions in time. In 2022, over 80% of our room-nights were sold through our direct sales channels. Such a high percentage of booking through our direct sales channels enables us to achieve higher operating efficiency compared to hotels that rely heavily on travel intermediaries.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Revenue management system (RMS).</w:t>
      </w:r>
      <w:r>
        <w:rPr>
          <w:rFonts w:ascii="Times New Roman;Times;serif" w:hAnsi="Times New Roman;Times;serif"/>
          <w:sz w:val="20"/>
        </w:rPr>
        <w:t xml:space="preserve"> Our fully automated RMS predicts the occupancy rates for all our hotels for the next 30 days and recommends room rate accordingly, without the need for constant adjustment. Powered by our proprietary algorithms, our RMS is capable of automatically taking into account a wide range of historical and futuristic data, including customer segments and profiles, operating performance of each hotel, room rates of our competitors in the same geographic area and future events in the area, to generate accurate price estimation, allowing us to balance occupancy rate and ADR in order to achieve higher RevPAR. Our RMS sends the rate adjustment suggestions directly to our hotel staff for their review and timely implementation.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Property management system (PMS).</w:t>
      </w:r>
      <w:r>
        <w:rPr>
          <w:rFonts w:ascii="Times New Roman;Times;serif" w:hAnsi="Times New Roman;Times;serif"/>
          <w:sz w:val="20"/>
        </w:rPr>
        <w:t xml:space="preserve"> Our PMS enables each hotel within our network to accurately and cost-effectively manage its room inventory and reservations on its own on a real-time basis as well as sends price adjustment requests through an Internet browser, which in turn optimizes each hotel’s occupancy rate, ADR and RevPAR. The system is designed to enable us to enhance our profitability and compete more effectively by integrating with our CRS and CRM. We believe our PMS enables our management to more effectively assess the performance of our hotels on a timely basis and to efficiently allocate resources and identify and refine specific market and sales targets.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Material requirements planning system (MRPS). </w:t>
      </w:r>
      <w:r>
        <w:rPr>
          <w:rFonts w:ascii="Times New Roman;Times;serif" w:hAnsi="Times New Roman;Times;serif"/>
          <w:sz w:val="20"/>
        </w:rPr>
        <w:t>Leveraging Internet of Things technology, our MRPS has enabled us to efficiently manage our operating costs, especially with respect to supplies used in large quantities, and allows all hotels across our network to make bulk purchases of hotel supplies, construction materials and retail products at the same time. This has also contributed to our ability to maintain a consistent level of high-quality services to our guests.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More Than A Hotel Brand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Atour was created not just as a hotel brand. Since our inception, we have been actively exploring the exciting possibilities of connecting different aspects of people’s lives, interests and inspirations, starting from a stay with us.</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Scenario-based retail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the first hotel chain in China to develop a scenario-based retail business. We design our guest room amenities, work closely with manufacturers to deliver top-quality products, and carefully place the relevant products in guest rooms. Each of our guest rooms incorporates a fully immersive shopping destination, enabling us to strengthen our brand elasticity with our guests.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Guests are able to experience first-hand our products during their entire stay with us. If they are satisfied with the products, a simple scan of the product on their phones will take them directly to our e-stores for convenient purchases, where it only takes a couple of taps for the products to be delivered to their doorsteps at home in a matter of days.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sell our products on leading third-party e-commerce platforms in China, offering additional purchasing channels for the broader consumer group. In addition, all our hotel lobbies come with a display area, where guests can view and select our products. In our manachised hotels, these products are first supplied by us to our manachised hotels at a discount and resold by the manachised hotels directly to their guests under our pricing guidance.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three product lines, each focusing on a specific category of private label products. Our “aTOUR PLANET” private label line covers sleep-related products, including mattress and pillows. These products are designed to turn sleeping from a basic physiological need to a deeply relaxing experience that improves quality of life. Our “SAVHE” private label line targets personal care and fragrance, including shampoo, handwash and diffusers, which bring a caring touch that rejuvenates the body and soothes the senses. Our “Z2GO&amp;CO.” private label line is designed for on-the-go products, including suitcases and hair dryers. These lightweight yet reliable products make travelling an easy and enjoyable experience.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backbone of our scenario-based retail business lies in our strong market research, product development and supply chain management capability. We identify new product lines or upgrade existing product lines by monitoring latest trend in the market and conduct survey with our customers. We then design the products and work with third-party manufacturers to produce them. Our quality standard is high. For each product line, we require that manufacturers send us a sample for robust testing and evaluation. Our quality assurance team also conduct random spot checks to ensure the products meet our quality standard as well as applicable national standards. Over the years, we have created an efficient and low-cost supply chain that delivers exceptional customer experience.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developed a total of 2,464 SKUs for scenario-based retail. The GMV generated from the retail business increased by 112.9% from RMB107.2 million in 2020 to RMB228.2 million in 2021, and further by 41.9% to RMB323.7 million in 2022. In 2022, the average transaction value per scenario-based retail order reached RMB399.8. Our online third-party platforms achieved a significant growth in 2022 with a 71% year-over-year increase in GMV. During the Double Eleven shopping festival in 2022, our Atour Planet flagship store was included in the top 8 best-selling pillow brands on renowned e-commerce platforms. Furthermore, our Atour Planet R90 deep sleep pillow has quickly become a blockbuster on Douyin since its launch in October 2022, with peak daily GMV exceeding RMB1 million. Going forward, we will continue to explore customers’ diverse demands in sleeping scenarios with exclusive product offerings, delivering a comfortable sleep environment for our customers while creating incremental value for our franchisees.</w:t>
      </w:r>
    </w:p>
    <w:p>
      <w:pPr>
        <w:pStyle w:val="TextBody"/>
        <w:spacing w:before="0" w:after="240"/>
        <w:ind w:left="187" w:right="0" w:hanging="0"/>
        <w:jc w:val="both"/>
        <w:rPr>
          <w:rFonts w:ascii="Times New Roman;Times;serif" w:hAnsi="Times New Roman;Times;serif"/>
          <w:b/>
          <w:i/>
          <w:sz w:val="20"/>
        </w:rPr>
      </w:pPr>
      <w:r>
        <w:rPr>
          <w:rFonts w:ascii="Times New Roman;Times;serif" w:hAnsi="Times New Roman;Times;serif"/>
          <w:b/>
          <w:i/>
          <w:sz w:val="20"/>
        </w:rPr>
        <w:t>Our unique themed hotel offerings-lifestyles with a theme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dedicated to expanding our lifestyle brand offerings centered around our unique hotel brand portfolio. To that end, we have created three series of themed hotels - our music hotels, basketball hotels and literary hotels - catering to the diversified lifestyles across different age groups with varied interests. In addition to driving our ADR, each series of themed hotel also marks our exploration into new territories.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first engage in co-branding initiatives with renowned brands in the lifestyle field that we wish to enter, accumulate experience and reputation during the collaboration period, and eventually start to operate our themed hotels solely leveraging our own Atour hotel brands.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sets forth the key information about our major themed hotel offerings as of December 31, 2022.</w:t>
      </w:r>
    </w:p>
    <w:p>
      <w:pPr>
        <w:pStyle w:val="TextBody"/>
        <w:spacing w:before="0" w:after="0"/>
        <w:ind w:left="0" w:right="0" w:hanging="0"/>
        <w:rPr/>
      </w:pPr>
      <w:r>
        <w:rPr/>
        <w:t>​</w:t>
      </w:r>
    </w:p>
    <w:tbl>
      <w:tblPr>
        <w:tblW w:w="6190" w:type="dxa"/>
        <w:jc w:val="left"/>
        <w:tblInd w:w="0" w:type="dxa"/>
        <w:tblCellMar>
          <w:top w:w="0" w:type="dxa"/>
          <w:left w:w="0" w:type="dxa"/>
          <w:bottom w:w="0" w:type="dxa"/>
          <w:right w:w="0" w:type="dxa"/>
        </w:tblCellMar>
      </w:tblPr>
      <w:tblGrid>
        <w:gridCol w:w="1531"/>
        <w:gridCol w:w="326"/>
        <w:gridCol w:w="3106"/>
        <w:gridCol w:w="326"/>
        <w:gridCol w:w="901"/>
      </w:tblGrid>
      <w:tr>
        <w:trPr/>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2185" cy="175260"/>
                      <wp:effectExtent l="0" t="0" r="0" b="0"/>
                      <wp:wrapNone/>
                      <wp:docPr id="25" name="Frame18"/>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972310" cy="175260"/>
                      <wp:effectExtent l="0" t="0" r="0" b="0"/>
                      <wp:wrapNone/>
                      <wp:docPr id="27" name="Frame20"/>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72135" cy="175260"/>
                      <wp:effectExtent l="0" t="0" r="0" b="0"/>
                      <wp:wrapNone/>
                      <wp:docPr id="29" name="Frame2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1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Lifestyle Themes and Inspirations</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r>
      <w:tr>
        <w:trPr/>
        <w:tc>
          <w:tcPr>
            <w:tcW w:w="15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Music Hotel</w:t>
            </w:r>
          </w:p>
        </w:tc>
        <w:tc>
          <w:tcPr>
            <w:tcW w:w="326" w:type="dxa"/>
            <w:tcBorders/>
            <w:shd w:fill="CCEEFF" w:val="clear"/>
            <w:vAlign w:val="center"/>
          </w:tcPr>
          <w:p>
            <w:pPr>
              <w:pStyle w:val="TableContents"/>
              <w:spacing w:before="0" w:after="0"/>
              <w:ind w:left="0" w:right="0" w:hanging="0"/>
              <w:rPr/>
            </w:pPr>
            <w:r>
              <w:rPr/>
              <w:t> </w:t>
            </w:r>
          </w:p>
        </w:tc>
        <w:tc>
          <w:tcPr>
            <w:tcW w:w="3106"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Music and entertainment</w:t>
            </w:r>
          </w:p>
        </w:tc>
        <w:tc>
          <w:tcPr>
            <w:tcW w:w="326" w:type="dxa"/>
            <w:tcBorders/>
            <w:shd w:fill="CCEEFF" w:val="clear"/>
            <w:vAlign w:val="center"/>
          </w:tcPr>
          <w:p>
            <w:pPr>
              <w:pStyle w:val="TableContents"/>
              <w:spacing w:before="0" w:after="0"/>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5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Basketball Hotel</w:t>
            </w:r>
          </w:p>
        </w:tc>
        <w:tc>
          <w:tcPr>
            <w:tcW w:w="326" w:type="dxa"/>
            <w:tcBorders/>
            <w:shd w:fill="auto" w:val="clear"/>
            <w:vAlign w:val="center"/>
          </w:tcPr>
          <w:p>
            <w:pPr>
              <w:pStyle w:val="TableContents"/>
              <w:spacing w:before="0" w:after="0"/>
              <w:ind w:left="0" w:right="0" w:hanging="0"/>
              <w:rPr/>
            </w:pPr>
            <w:r>
              <w:rPr/>
              <w:t> </w:t>
            </w:r>
          </w:p>
        </w:tc>
        <w:tc>
          <w:tcPr>
            <w:tcW w:w="31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Sports community and entertainment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53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Literature Hotel</w:t>
            </w:r>
          </w:p>
        </w:tc>
        <w:tc>
          <w:tcPr>
            <w:tcW w:w="326" w:type="dxa"/>
            <w:tcBorders/>
            <w:shd w:fill="CCEEFF" w:val="clear"/>
            <w:vAlign w:val="center"/>
          </w:tcPr>
          <w:p>
            <w:pPr>
              <w:pStyle w:val="TableContents"/>
              <w:spacing w:before="0" w:after="0"/>
              <w:ind w:left="0" w:right="0" w:hanging="0"/>
              <w:rPr/>
            </w:pPr>
            <w:r>
              <w:rPr/>
              <w:t> </w:t>
            </w:r>
          </w:p>
        </w:tc>
        <w:tc>
          <w:tcPr>
            <w:tcW w:w="31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Culture and community</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w:t>
            </w:r>
          </w:p>
        </w:tc>
      </w:tr>
    </w:tbl>
    <w:p>
      <w:pPr>
        <w:pStyle w:val="TextBody"/>
        <w:spacing w:before="0" w:after="0"/>
        <w:ind w:left="0" w:right="0" w:hanging="0"/>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to the three series of themed hotel above which we are committed to growing our scale, we also collaborate with renowned lifestyle, technology and cultural brands that are favored by the young generations in China and operate standalone themed hotels catering to diversified interests and tastes, including three retail-themed hotels we operate with NetEase Yanxuan, an animation-themed hotel we operate with Shanghai Amination Film Studio and an automobile-themed hotel we operate with BitAuto. As of December 31, 2022, we collaborated with six partners and operated 17 themed hotels in total.</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Hotel Development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mainly use a manachise hotel operation model to expand our hotel network in a less capital-intensive and more efficient manner. As of December 31, 2022, we had 899 manachised hotels. We also develop and operate leased hotels to increase our brand influence and set successful examples for our franchisee partners. As of the same date, we had 33 leased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primarily focus on Tier 1, New Tier 1 and Tier 2 cities in China. We believe these markets fit our position as a leading lifestyle hotel chain. These markets also tend to provide higher occupancy rate, higher rate of return and higher ADR. As of December 31, 2022, our hotel network covered 932 hotels spanning 163 cities across China. We are still rapidly scaling our presence across China. As of December 31, 2022, we had an additional 363 hotels under development.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all of our hotels by geographic region as of December 31, 2022.</w:t>
      </w:r>
    </w:p>
    <w:p>
      <w:pPr>
        <w:pStyle w:val="TextBody"/>
        <w:spacing w:before="0" w:after="0"/>
        <w:ind w:left="0" w:right="0" w:hanging="0"/>
        <w:rPr/>
      </w:pPr>
      <w:r>
        <w:rPr/>
        <w:t>​</w:t>
      </w:r>
    </w:p>
    <w:tbl>
      <w:tblPr>
        <w:tblW w:w="6217" w:type="dxa"/>
        <w:jc w:val="left"/>
        <w:tblInd w:w="0" w:type="dxa"/>
        <w:tblCellMar>
          <w:top w:w="0" w:type="dxa"/>
          <w:left w:w="0" w:type="dxa"/>
          <w:bottom w:w="0" w:type="dxa"/>
          <w:right w:w="0" w:type="dxa"/>
        </w:tblCellMar>
      </w:tblPr>
      <w:tblGrid>
        <w:gridCol w:w="2461"/>
        <w:gridCol w:w="326"/>
        <w:gridCol w:w="1111"/>
        <w:gridCol w:w="326"/>
        <w:gridCol w:w="601"/>
        <w:gridCol w:w="326"/>
        <w:gridCol w:w="1066"/>
      </w:tblGrid>
      <w:tr>
        <w:trPr/>
        <w:tc>
          <w:tcPr>
            <w:tcW w:w="2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62735" cy="175260"/>
                      <wp:effectExtent l="0" t="0" r="0" b="0"/>
                      <wp:wrapNone/>
                      <wp:docPr id="30" name="Frame23"/>
                      <a:graphic xmlns:a="http://schemas.openxmlformats.org/drawingml/2006/main">
                        <a:graphicData uri="http://schemas.microsoft.com/office/word/2010/wordprocessingShape">
                          <wps:wsp>
                            <wps:cNvSpPr txBox="1"/>
                            <wps:spPr>
                              <a:xfrm>
                                <a:off x="0" y="0"/>
                                <a:ext cx="156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05485" cy="175260"/>
                      <wp:effectExtent l="0" t="0" r="0" b="0"/>
                      <wp:wrapNone/>
                      <wp:docPr id="32" name="Frame25"/>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1635" cy="175260"/>
                      <wp:effectExtent l="0" t="0" r="0" b="0"/>
                      <wp:wrapNone/>
                      <wp:docPr id="34" name="Frame2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76910" cy="175260"/>
                      <wp:effectExtent l="0" t="0" r="0" b="0"/>
                      <wp:wrapNone/>
                      <wp:docPr id="36" name="Frame29"/>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Manachised </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w:t>
            </w:r>
          </w:p>
        </w:tc>
      </w:tr>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Manachised</w:t>
            </w: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w:t>
            </w:r>
          </w:p>
        </w:tc>
        <w:tc>
          <w:tcPr>
            <w:tcW w:w="326" w:type="dxa"/>
            <w:tcBorders/>
            <w:shd w:fill="auto" w:val="clear"/>
            <w:vAlign w:val="center"/>
          </w:tcPr>
          <w:p>
            <w:pPr>
              <w:pStyle w:val="TableContents"/>
              <w:spacing w:before="0" w:after="0"/>
              <w:ind w:left="0" w:right="0" w:hanging="0"/>
              <w:jc w:val="center"/>
              <w:rPr/>
            </w:pPr>
            <w:r>
              <w:rPr/>
              <w:t>​</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Tier 1 cities</w:t>
            </w:r>
          </w:p>
        </w:tc>
        <w:tc>
          <w:tcPr>
            <w:tcW w:w="326" w:type="dxa"/>
            <w:tcBorders/>
            <w:shd w:fill="CCEEFF" w:val="clear"/>
            <w:vAlign w:val="center"/>
          </w:tcPr>
          <w:p>
            <w:pPr>
              <w:pStyle w:val="TableContents"/>
              <w:spacing w:before="0" w:after="0"/>
              <w:ind w:left="0" w:right="0" w:hanging="0"/>
              <w:rPr/>
            </w:pPr>
            <w:r>
              <w:rPr/>
              <w:t> </w:t>
            </w:r>
          </w:p>
        </w:tc>
        <w:tc>
          <w:tcPr>
            <w:tcW w:w="111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spacing w:before="0" w:after="0"/>
              <w:ind w:left="0" w:right="0" w:hanging="0"/>
              <w:rPr/>
            </w:pPr>
            <w:r>
              <w:rPr/>
              <w:t> </w:t>
            </w:r>
          </w:p>
        </w:tc>
        <w:tc>
          <w:tcPr>
            <w:tcW w:w="6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 </w:t>
            </w:r>
          </w:p>
        </w:tc>
        <w:tc>
          <w:tcPr>
            <w:tcW w:w="106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New Tier 1 and Tier 2 cities</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Others</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363</w:t>
            </w:r>
          </w:p>
        </w:tc>
      </w:tr>
    </w:tbl>
    <w:p>
      <w:pPr>
        <w:pStyle w:val="TextBody"/>
        <w:spacing w:before="0" w:after="0"/>
        <w:ind w:left="0" w:right="0" w:hanging="0"/>
        <w:rPr/>
      </w:pPr>
      <w:r>
        <w:rPr/>
        <w:t>​</w:t>
      </w:r>
    </w:p>
    <w:p>
      <w:pPr>
        <w:pStyle w:val="TextBody"/>
        <w:pBdr/>
        <w:spacing w:before="0" w:after="100"/>
        <w:ind w:left="0" w:right="0" w:hanging="360"/>
        <w:jc w:val="both"/>
        <w:rPr>
          <w:rFonts w:ascii="Times New Roman;Times;serif" w:hAnsi="Times New Roman;Times;serif"/>
          <w:sz w:val="18"/>
        </w:rPr>
      </w:pPr>
      <w:r>
        <w:rPr>
          <w:rFonts w:ascii="Times New Roman;Times;serif" w:hAnsi="Times New Roman;Times;serif"/>
          <w:sz w:val="18"/>
        </w:rPr>
        <w:t>Note:</w:t>
      </w:r>
    </w:p>
    <w:tbl>
      <w:tblPr>
        <w:tblW w:w="10205" w:type="dxa"/>
        <w:jc w:val="left"/>
        <w:tblInd w:w="0" w:type="dxa"/>
        <w:tblCellMar>
          <w:top w:w="0" w:type="dxa"/>
          <w:left w:w="0" w:type="dxa"/>
          <w:bottom w:w="0" w:type="dxa"/>
          <w:right w:w="0" w:type="dxa"/>
        </w:tblCellMar>
      </w:tblPr>
      <w:tblGrid>
        <w:gridCol w:w="319"/>
        <w:gridCol w:w="9886"/>
      </w:tblGrid>
      <w:tr>
        <w:trPr/>
        <w:tc>
          <w:tcPr>
            <w:tcW w:w="319" w:type="dxa"/>
            <w:tcBorders/>
            <w:shd w:fill="auto" w:val="clear"/>
            <w:vAlign w:val="center"/>
          </w:tcPr>
          <w:p>
            <w:pPr>
              <w:pStyle w:val="TableContents"/>
              <w:spacing w:before="0" w:after="100"/>
              <w:jc w:val="both"/>
              <w:rPr>
                <w:rFonts w:ascii="Times New Roman;Times;serif" w:hAnsi="Times New Roman;Times;serif"/>
                <w:sz w:val="18"/>
              </w:rPr>
            </w:pPr>
            <w:r>
              <w:rPr>
                <w:rFonts w:ascii="Times New Roman;Times;serif" w:hAnsi="Times New Roman;Times;serif"/>
                <w:sz w:val="18"/>
              </w:rPr>
              <w:t>(1)</w:t>
            </w:r>
          </w:p>
        </w:tc>
        <w:tc>
          <w:tcPr>
            <w:tcW w:w="9886" w:type="dxa"/>
            <w:tcBorders/>
            <w:shd w:fill="auto" w:val="clear"/>
            <w:vAlign w:val="center"/>
          </w:tcPr>
          <w:p>
            <w:pPr>
              <w:pStyle w:val="TableContents"/>
              <w:spacing w:before="0" w:after="100"/>
              <w:jc w:val="both"/>
              <w:rPr>
                <w:rFonts w:ascii="Times New Roman;Times;serif" w:hAnsi="Times New Roman;Times;serif"/>
                <w:sz w:val="18"/>
              </w:rPr>
            </w:pPr>
            <w:r>
              <w:rPr>
                <w:rFonts w:ascii="Times New Roman;Times;serif" w:hAnsi="Times New Roman;Times;serif"/>
                <w:sz w:val="18"/>
              </w:rPr>
              <w:t>Includes 53 hotels requisitioned by the government for quarantine needs in response to the COVID-19 outbreak, which were not in operation as of December 31, 2022.</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adopt a systematic and standardized process for the planning and execution of new hotel development projects. Our regional hotel development team has 67 employees, located in four major regions across China with a national coverage as of December 31, 2022. Our hotel development employees determine the target location of each city by analyzing the economic data, field survey reports and market intelligence information of each city, and prepare a weekly report containing market survey data, investment return estimation and brand positioning. The report is subsequently presented to our investment committee at weekly meetings, followed by a rigorous and comprehensive review by our investment committee.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When evaluating potential franchising opportunities, the investment committee will consider the attractiveness of the location and other factors, such as the quality and product quality of the potential franchisees and their ability to meet our service standards. Our investment committee will prudently evaluate each investment proposal to ensure that we can effectively expand our coverage while improving our profitability. As part of a due diligence effort, we also require franchisees to have an interview with our regional director and member of our franchising department to understand the background, business goals, and value propositions of each franchisee candidate. We typically source potential franchisees through word-of-mouth referrals, applications submitted via our website and industry conferences. Our franchisees include seasoned investors in the hospitality industry, entrepreneurs and real estate developers.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changes in the number of our hotels and hotel rooms for the periods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443"/>
        <w:gridCol w:w="326"/>
        <w:gridCol w:w="856"/>
        <w:gridCol w:w="326"/>
        <w:gridCol w:w="676"/>
        <w:gridCol w:w="326"/>
        <w:gridCol w:w="856"/>
        <w:gridCol w:w="326"/>
        <w:gridCol w:w="676"/>
        <w:gridCol w:w="326"/>
        <w:gridCol w:w="856"/>
        <w:gridCol w:w="326"/>
        <w:gridCol w:w="886"/>
      </w:tblGrid>
      <w:tr>
        <w:trPr/>
        <w:tc>
          <w:tcPr>
            <w:tcW w:w="34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86305" cy="175260"/>
                      <wp:effectExtent l="0" t="0" r="0" b="0"/>
                      <wp:wrapNone/>
                      <wp:docPr id="37" name="Frame30"/>
                      <a:graphic xmlns:a="http://schemas.openxmlformats.org/drawingml/2006/main">
                        <a:graphicData uri="http://schemas.microsoft.com/office/word/2010/wordprocessingShape">
                          <wps:wsp>
                            <wps:cNvSpPr txBox="1"/>
                            <wps:spPr>
                              <a:xfrm>
                                <a:off x="0" y="0"/>
                                <a:ext cx="2186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43560" cy="175260"/>
                      <wp:effectExtent l="0" t="0" r="0" b="0"/>
                      <wp:wrapNone/>
                      <wp:docPr id="39" name="Frame3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29260" cy="175260"/>
                      <wp:effectExtent l="0" t="0" r="0" b="0"/>
                      <wp:wrapNone/>
                      <wp:docPr id="41" name="Frame3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43560" cy="175260"/>
                      <wp:effectExtent l="0" t="0" r="0" b="0"/>
                      <wp:wrapNone/>
                      <wp:docPr id="43" name="Frame36"/>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4"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5" name="Frame3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43560" cy="175260"/>
                      <wp:effectExtent l="0" t="0" r="0" b="0"/>
                      <wp:wrapNone/>
                      <wp:docPr id="47" name="Frame4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2610" cy="175260"/>
                      <wp:effectExtent l="0" t="0" r="0" b="0"/>
                      <wp:wrapNone/>
                      <wp:docPr id="49" name="Frame4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43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4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58" w:type="dxa"/>
            <w:gridSpan w:val="3"/>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2020</w:t>
            </w: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jc w:val="center"/>
              <w:rPr/>
            </w:pPr>
            <w:r>
              <w:rPr/>
              <w:t>​</w:t>
            </w:r>
          </w:p>
        </w:tc>
        <w:tc>
          <w:tcPr>
            <w:tcW w:w="1858" w:type="dxa"/>
            <w:gridSpan w:val="3"/>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2021</w:t>
            </w: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jc w:val="center"/>
              <w:rPr/>
            </w:pPr>
            <w:r>
              <w:rPr/>
              <w:t>​</w:t>
            </w:r>
          </w:p>
        </w:tc>
        <w:tc>
          <w:tcPr>
            <w:tcW w:w="2068" w:type="dxa"/>
            <w:gridSpan w:val="3"/>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2022</w:t>
            </w:r>
            <w:r>
              <w:rPr>
                <w:rFonts w:ascii="Times New Roman;Times;serif" w:hAnsi="Times New Roman;Times;serif"/>
                <w:b/>
                <w:sz w:val="12"/>
              </w:rPr>
              <w:t>(1)</w:t>
            </w:r>
          </w:p>
        </w:tc>
      </w:tr>
      <w:tr>
        <w:trPr/>
        <w:tc>
          <w:tcPr>
            <w:tcW w:w="34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Rooms</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Rooms</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Rooms</w:t>
            </w:r>
          </w:p>
        </w:tc>
      </w:tr>
      <w:tr>
        <w:trPr/>
        <w:tc>
          <w:tcPr>
            <w:tcW w:w="34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 at the beginning of the period</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spacing w:before="0" w:after="0"/>
              <w:ind w:left="0" w:right="0" w:hanging="0"/>
              <w:rPr/>
            </w:pPr>
            <w:r>
              <w:rPr/>
              <w:t> </w:t>
            </w:r>
          </w:p>
        </w:tc>
        <w:tc>
          <w:tcPr>
            <w:tcW w:w="67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44,983</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CCEEFF" w:val="clear"/>
            <w:vAlign w:val="center"/>
          </w:tcPr>
          <w:p>
            <w:pPr>
              <w:pStyle w:val="TableContents"/>
              <w:spacing w:before="0" w:after="0"/>
              <w:ind w:left="0" w:right="0" w:hanging="0"/>
              <w:rPr/>
            </w:pPr>
            <w:r>
              <w:rPr/>
              <w:t> </w:t>
            </w:r>
          </w:p>
        </w:tc>
        <w:tc>
          <w:tcPr>
            <w:tcW w:w="67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61,782</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spacing w:before="0" w:after="0"/>
              <w:ind w:left="0" w:right="0" w:hanging="0"/>
              <w:rPr/>
            </w:pPr>
            <w:r>
              <w:rPr/>
              <w:t> </w:t>
            </w:r>
          </w:p>
        </w:tc>
        <w:tc>
          <w:tcPr>
            <w:tcW w:w="88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81,594</w:t>
            </w:r>
          </w:p>
        </w:tc>
      </w:tr>
      <w:tr>
        <w:trPr/>
        <w:tc>
          <w:tcPr>
            <w:tcW w:w="344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Add</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18,273</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21,340</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22,373</w:t>
            </w:r>
          </w:p>
        </w:tc>
      </w:tr>
      <w:tr>
        <w:trPr/>
        <w:tc>
          <w:tcPr>
            <w:tcW w:w="34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Less</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r>
      <w:tr>
        <w:trPr/>
        <w:tc>
          <w:tcPr>
            <w:tcW w:w="344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At the end of the period</w:t>
            </w:r>
          </w:p>
        </w:tc>
        <w:tc>
          <w:tcPr>
            <w:tcW w:w="326" w:type="dxa"/>
            <w:tcBorders/>
            <w:shd w:fill="auto" w:val="clear"/>
            <w:vAlign w:val="center"/>
          </w:tcPr>
          <w:p>
            <w:pPr>
              <w:pStyle w:val="TableContents"/>
              <w:spacing w:before="0" w:after="0"/>
              <w:ind w:left="0" w:right="0" w:hanging="0"/>
              <w:rPr/>
            </w:pPr>
            <w:r>
              <w:rPr/>
              <w:t> </w:t>
            </w:r>
          </w:p>
        </w:tc>
        <w:tc>
          <w:tcPr>
            <w:tcW w:w="8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537</w:t>
            </w:r>
          </w:p>
        </w:tc>
        <w:tc>
          <w:tcPr>
            <w:tcW w:w="326" w:type="dxa"/>
            <w:tcBorders/>
            <w:shd w:fill="auto" w:val="clear"/>
            <w:vAlign w:val="center"/>
          </w:tcPr>
          <w:p>
            <w:pPr>
              <w:pStyle w:val="TableContents"/>
              <w:spacing w:before="0" w:after="0"/>
              <w:ind w:left="0" w:right="0" w:hanging="0"/>
              <w:rPr/>
            </w:pPr>
            <w:r>
              <w:rPr/>
              <w:t> </w:t>
            </w:r>
          </w:p>
        </w:tc>
        <w:tc>
          <w:tcPr>
            <w:tcW w:w="6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61,782</w:t>
            </w:r>
          </w:p>
        </w:tc>
        <w:tc>
          <w:tcPr>
            <w:tcW w:w="326" w:type="dxa"/>
            <w:tcBorders/>
            <w:shd w:fill="auto" w:val="clear"/>
            <w:vAlign w:val="center"/>
          </w:tcPr>
          <w:p>
            <w:pPr>
              <w:pStyle w:val="TableContents"/>
              <w:spacing w:before="0" w:after="0"/>
              <w:ind w:left="0" w:right="0" w:hanging="0"/>
              <w:rPr/>
            </w:pPr>
            <w:r>
              <w:rPr/>
              <w:t> </w:t>
            </w:r>
          </w:p>
        </w:tc>
        <w:tc>
          <w:tcPr>
            <w:tcW w:w="8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712</w:t>
            </w:r>
          </w:p>
        </w:tc>
        <w:tc>
          <w:tcPr>
            <w:tcW w:w="326" w:type="dxa"/>
            <w:tcBorders/>
            <w:shd w:fill="auto" w:val="clear"/>
            <w:vAlign w:val="center"/>
          </w:tcPr>
          <w:p>
            <w:pPr>
              <w:pStyle w:val="TableContents"/>
              <w:spacing w:before="0" w:after="0"/>
              <w:ind w:left="0" w:right="0" w:hanging="0"/>
              <w:rPr/>
            </w:pPr>
            <w:r>
              <w:rPr/>
              <w:t> </w:t>
            </w:r>
          </w:p>
        </w:tc>
        <w:tc>
          <w:tcPr>
            <w:tcW w:w="6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81,594</w:t>
            </w:r>
          </w:p>
        </w:tc>
        <w:tc>
          <w:tcPr>
            <w:tcW w:w="326" w:type="dxa"/>
            <w:tcBorders/>
            <w:shd w:fill="auto" w:val="clear"/>
            <w:vAlign w:val="center"/>
          </w:tcPr>
          <w:p>
            <w:pPr>
              <w:pStyle w:val="TableContents"/>
              <w:spacing w:before="0" w:after="0"/>
              <w:ind w:left="0" w:right="0" w:hanging="0"/>
              <w:rPr/>
            </w:pPr>
            <w:r>
              <w:rPr/>
              <w:t> </w:t>
            </w:r>
          </w:p>
        </w:tc>
        <w:tc>
          <w:tcPr>
            <w:tcW w:w="8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899</w:t>
            </w:r>
          </w:p>
        </w:tc>
        <w:tc>
          <w:tcPr>
            <w:tcW w:w="326" w:type="dxa"/>
            <w:tcBorders/>
            <w:shd w:fill="auto" w:val="clear"/>
            <w:vAlign w:val="center"/>
          </w:tcPr>
          <w:p>
            <w:pPr>
              <w:pStyle w:val="TableContents"/>
              <w:spacing w:before="0" w:after="0"/>
              <w:ind w:left="0" w:right="0" w:hanging="0"/>
              <w:rPr/>
            </w:pPr>
            <w:r>
              <w:rPr/>
              <w:t> </w:t>
            </w:r>
          </w:p>
        </w:tc>
        <w:tc>
          <w:tcPr>
            <w:tcW w:w="88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102,945</w:t>
            </w:r>
          </w:p>
        </w:tc>
      </w:tr>
      <w:tr>
        <w:trPr/>
        <w:tc>
          <w:tcPr>
            <w:tcW w:w="34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 at the beginning of the period</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double" w:sz="6"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rPr/>
            </w:pPr>
            <w:r>
              <w:rPr/>
              <w:t> </w:t>
            </w:r>
          </w:p>
        </w:tc>
        <w:tc>
          <w:tcPr>
            <w:tcW w:w="676" w:type="dxa"/>
            <w:tcBorders>
              <w:top w:val="double" w:sz="6"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4,104</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double" w:sz="6"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0"/>
              <w:ind w:left="0" w:right="0" w:hanging="0"/>
              <w:rPr/>
            </w:pPr>
            <w:r>
              <w:rPr/>
              <w:t> </w:t>
            </w:r>
          </w:p>
        </w:tc>
        <w:tc>
          <w:tcPr>
            <w:tcW w:w="676" w:type="dxa"/>
            <w:tcBorders>
              <w:top w:val="double" w:sz="6"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4,836</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double" w:sz="6"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0"/>
              <w:ind w:left="0" w:right="0" w:hanging="0"/>
              <w:rPr/>
            </w:pPr>
            <w:r>
              <w:rPr/>
              <w:t> </w:t>
            </w:r>
          </w:p>
        </w:tc>
        <w:tc>
          <w:tcPr>
            <w:tcW w:w="886" w:type="dxa"/>
            <w:tcBorders>
              <w:top w:val="double" w:sz="6"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r>
      <w:tr>
        <w:trPr/>
        <w:tc>
          <w:tcPr>
            <w:tcW w:w="344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Add</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r>
      <w:tr>
        <w:trPr/>
        <w:tc>
          <w:tcPr>
            <w:tcW w:w="34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Less</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44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At the end of the period</w:t>
            </w:r>
          </w:p>
        </w:tc>
        <w:tc>
          <w:tcPr>
            <w:tcW w:w="326" w:type="dxa"/>
            <w:tcBorders/>
            <w:shd w:fill="auto" w:val="clear"/>
            <w:vAlign w:val="center"/>
          </w:tcPr>
          <w:p>
            <w:pPr>
              <w:pStyle w:val="TableContents"/>
              <w:spacing w:before="0" w:after="0"/>
              <w:ind w:left="0" w:right="0" w:hanging="0"/>
              <w:rPr/>
            </w:pPr>
            <w:r>
              <w:rPr/>
              <w:t> </w:t>
            </w:r>
          </w:p>
        </w:tc>
        <w:tc>
          <w:tcPr>
            <w:tcW w:w="8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26" w:type="dxa"/>
            <w:tcBorders/>
            <w:shd w:fill="auto" w:val="clear"/>
            <w:vAlign w:val="center"/>
          </w:tcPr>
          <w:p>
            <w:pPr>
              <w:pStyle w:val="TableContents"/>
              <w:spacing w:before="0" w:after="0"/>
              <w:ind w:left="0" w:right="0" w:hanging="0"/>
              <w:rPr/>
            </w:pPr>
            <w:r>
              <w:rPr/>
              <w:t> </w:t>
            </w:r>
          </w:p>
        </w:tc>
        <w:tc>
          <w:tcPr>
            <w:tcW w:w="6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4,836</w:t>
            </w:r>
          </w:p>
        </w:tc>
        <w:tc>
          <w:tcPr>
            <w:tcW w:w="326" w:type="dxa"/>
            <w:tcBorders/>
            <w:shd w:fill="auto" w:val="clear"/>
            <w:vAlign w:val="center"/>
          </w:tcPr>
          <w:p>
            <w:pPr>
              <w:pStyle w:val="TableContents"/>
              <w:spacing w:before="0" w:after="0"/>
              <w:ind w:left="0" w:right="0" w:hanging="0"/>
              <w:rPr/>
            </w:pPr>
            <w:r>
              <w:rPr/>
              <w:t> </w:t>
            </w:r>
          </w:p>
        </w:tc>
        <w:tc>
          <w:tcPr>
            <w:tcW w:w="8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26" w:type="dxa"/>
            <w:tcBorders/>
            <w:shd w:fill="auto" w:val="clear"/>
            <w:vAlign w:val="center"/>
          </w:tcPr>
          <w:p>
            <w:pPr>
              <w:pStyle w:val="TableContents"/>
              <w:spacing w:before="0" w:after="0"/>
              <w:ind w:left="0" w:right="0" w:hanging="0"/>
              <w:rPr/>
            </w:pPr>
            <w:r>
              <w:rPr/>
              <w:t> </w:t>
            </w:r>
          </w:p>
        </w:tc>
        <w:tc>
          <w:tcPr>
            <w:tcW w:w="6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5,060</w:t>
            </w:r>
          </w:p>
        </w:tc>
        <w:tc>
          <w:tcPr>
            <w:tcW w:w="326" w:type="dxa"/>
            <w:tcBorders/>
            <w:shd w:fill="auto" w:val="clear"/>
            <w:vAlign w:val="center"/>
          </w:tcPr>
          <w:p>
            <w:pPr>
              <w:pStyle w:val="TableContents"/>
              <w:spacing w:before="0" w:after="0"/>
              <w:ind w:left="0" w:right="0" w:hanging="0"/>
              <w:rPr/>
            </w:pPr>
            <w:r>
              <w:rPr/>
              <w:t> </w:t>
            </w:r>
          </w:p>
        </w:tc>
        <w:tc>
          <w:tcPr>
            <w:tcW w:w="8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26" w:type="dxa"/>
            <w:tcBorders/>
            <w:shd w:fill="auto" w:val="clear"/>
            <w:vAlign w:val="center"/>
          </w:tcPr>
          <w:p>
            <w:pPr>
              <w:pStyle w:val="TableContents"/>
              <w:spacing w:before="0" w:after="0"/>
              <w:ind w:left="0" w:right="0" w:hanging="0"/>
              <w:rPr/>
            </w:pPr>
            <w:r>
              <w:rPr/>
              <w:t> </w:t>
            </w:r>
          </w:p>
        </w:tc>
        <w:tc>
          <w:tcPr>
            <w:tcW w:w="88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5,053</w:t>
            </w:r>
          </w:p>
        </w:tc>
      </w:tr>
      <w:tr>
        <w:trPr/>
        <w:tc>
          <w:tcPr>
            <w:tcW w:w="344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hotels at the end of the period</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570</w:t>
            </w:r>
          </w:p>
        </w:tc>
        <w:tc>
          <w:tcPr>
            <w:tcW w:w="326" w:type="dxa"/>
            <w:tcBorders/>
            <w:shd w:fill="CCEEFF" w:val="clear"/>
            <w:vAlign w:val="center"/>
          </w:tcPr>
          <w:p>
            <w:pPr>
              <w:pStyle w:val="TableContents"/>
              <w:spacing w:before="0" w:after="0"/>
              <w:ind w:left="0" w:right="0" w:hanging="0"/>
              <w:rPr/>
            </w:pPr>
            <w:r>
              <w:rPr/>
              <w:t> </w:t>
            </w:r>
          </w:p>
        </w:tc>
        <w:tc>
          <w:tcPr>
            <w:tcW w:w="67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66,618</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745</w:t>
            </w:r>
          </w:p>
        </w:tc>
        <w:tc>
          <w:tcPr>
            <w:tcW w:w="326" w:type="dxa"/>
            <w:tcBorders/>
            <w:shd w:fill="CCEEFF" w:val="clear"/>
            <w:vAlign w:val="center"/>
          </w:tcPr>
          <w:p>
            <w:pPr>
              <w:pStyle w:val="TableContents"/>
              <w:spacing w:before="0" w:after="0"/>
              <w:ind w:left="0" w:right="0" w:hanging="0"/>
              <w:rPr/>
            </w:pPr>
            <w:r>
              <w:rPr/>
              <w:t> </w:t>
            </w:r>
          </w:p>
        </w:tc>
        <w:tc>
          <w:tcPr>
            <w:tcW w:w="67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86,654</w:t>
            </w:r>
          </w:p>
        </w:tc>
        <w:tc>
          <w:tcPr>
            <w:tcW w:w="326" w:type="dxa"/>
            <w:tcBorders/>
            <w:shd w:fill="CCEEFF" w:val="clear"/>
            <w:vAlign w:val="center"/>
          </w:tcPr>
          <w:p>
            <w:pPr>
              <w:pStyle w:val="TableContents"/>
              <w:spacing w:before="0" w:after="0"/>
              <w:ind w:left="0" w:right="0" w:hanging="0"/>
              <w:rPr/>
            </w:pPr>
            <w:r>
              <w:rPr/>
              <w:t> </w:t>
            </w:r>
          </w:p>
        </w:tc>
        <w:tc>
          <w:tcPr>
            <w:tcW w:w="85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932</w:t>
            </w:r>
          </w:p>
        </w:tc>
        <w:tc>
          <w:tcPr>
            <w:tcW w:w="326" w:type="dxa"/>
            <w:tcBorders/>
            <w:shd w:fill="CCEEFF" w:val="clear"/>
            <w:vAlign w:val="center"/>
          </w:tcPr>
          <w:p>
            <w:pPr>
              <w:pStyle w:val="TableContents"/>
              <w:spacing w:before="0" w:after="0"/>
              <w:ind w:left="0" w:right="0" w:hanging="0"/>
              <w:rPr/>
            </w:pPr>
            <w:r>
              <w:rPr/>
              <w:t> </w:t>
            </w:r>
          </w:p>
        </w:tc>
        <w:tc>
          <w:tcPr>
            <w:tcW w:w="88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107,998</w:t>
            </w:r>
          </w:p>
        </w:tc>
      </w:tr>
    </w:tbl>
    <w:p>
      <w:pPr>
        <w:pStyle w:val="TextBody"/>
        <w:spacing w:before="0" w:after="0"/>
        <w:ind w:left="0" w:right="0" w:hanging="0"/>
        <w:rPr/>
      </w:pPr>
      <w:r>
        <w:rPr/>
        <w:t>​</w:t>
      </w:r>
    </w:p>
    <w:p>
      <w:pPr>
        <w:pStyle w:val="TextBody"/>
        <w:pBdr/>
        <w:spacing w:before="0" w:after="100"/>
        <w:ind w:left="0" w:right="0" w:hanging="360"/>
        <w:jc w:val="both"/>
        <w:rPr>
          <w:rFonts w:ascii="Times New Roman;Times;serif" w:hAnsi="Times New Roman;Times;serif"/>
          <w:sz w:val="18"/>
        </w:rPr>
      </w:pPr>
      <w:r>
        <w:rPr>
          <w:rFonts w:ascii="Times New Roman;Times;serif" w:hAnsi="Times New Roman;Times;serif"/>
          <w:sz w:val="18"/>
        </w:rPr>
        <w:t>Note:</w:t>
      </w:r>
    </w:p>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240"/>
              <w:jc w:val="both"/>
              <w:rPr>
                <w:rFonts w:ascii="Times New Roman;Times;serif" w:hAnsi="Times New Roman;Times;serif"/>
                <w:sz w:val="18"/>
              </w:rPr>
            </w:pPr>
            <w:r>
              <w:rPr>
                <w:rFonts w:ascii="Times New Roman;Times;serif" w:hAnsi="Times New Roman;Times;serif"/>
                <w:sz w:val="18"/>
              </w:rPr>
              <w:t>(1)</w:t>
            </w:r>
          </w:p>
        </w:tc>
        <w:tc>
          <w:tcPr>
            <w:tcW w:w="9896" w:type="dxa"/>
            <w:tcBorders/>
            <w:shd w:fill="auto" w:val="clear"/>
            <w:vAlign w:val="center"/>
          </w:tcPr>
          <w:p>
            <w:pPr>
              <w:pStyle w:val="TableContents"/>
              <w:spacing w:before="0" w:after="240"/>
              <w:jc w:val="both"/>
              <w:rPr>
                <w:rFonts w:ascii="Times New Roman;Times;serif" w:hAnsi="Times New Roman;Times;serif"/>
                <w:sz w:val="18"/>
              </w:rPr>
            </w:pPr>
            <w:r>
              <w:rPr>
                <w:rFonts w:ascii="Times New Roman;Times;serif" w:hAnsi="Times New Roman;Times;serif"/>
                <w:sz w:val="18"/>
              </w:rPr>
              <w:t>Includes 19, 42 and 53 hotels requisitioned by the government for quarantine needs in response to the COVID-19 outbreak, which were not in operation as of December 31, 2020, 2021 and 2022, respectively.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reasons for hotels near popular commercial and office districts in major cities in China that tend to generate a stronger demand for hotel accommodations.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To ensure the consistency in style and quality, we recommend, and in some cases require, that franchisees select from a shortlist of design firms that are certified by us. We also require that franchisees purchase some of the construction materials from us through our MRPS. We provide on-site guidance during the construction period and require multiple project acceptance procedures before a manachised hotel begins its operation.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Leased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primarily use our leased hotels to define the operational and quality standards of our hotels.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Location Selection.</w:t>
      </w:r>
      <w:r>
        <w:rPr>
          <w:rFonts w:ascii="Times New Roman;Times;serif" w:hAnsi="Times New Roman;Times;serif"/>
          <w:sz w:val="20"/>
        </w:rPr>
        <w:t xml:space="preserve"> We seek properties that are in central or highly accessible locations in economically more developed cities in order to maximize the room rates that we can charge, including business clusters, central business districts, development zones, areas near universities and transportation hubs. In addition, we typically seek properties that with an area of 3,500 square meters to 15,000 square meters that will accommodate 80 to 200 hotel rooms, with a lease term between 10 to 20 years. After identifying a proposed site, we conduct thorough due diligence and typically negotiate leases concurrently with the lessors. All leases and development plans are subject to the final approval of our investment committee.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Lease Terms.</w:t>
      </w:r>
      <w:r>
        <w:rPr>
          <w:rFonts w:ascii="Times New Roman;Times;serif" w:hAnsi="Times New Roman;Times;serif"/>
          <w:sz w:val="20"/>
        </w:rPr>
        <w:t xml:space="preserve"> Our leased hotels are located on properties we or our designated third parties lease from the owners of such properties. Our typical lease term ranges from 10 to 20 years. We typically enjoy an initial three- to six-month rent-free period. After that, we generally pay fixed rent on a monthly or quarterly basis for the first two years of the lease term, after which we are generally subject to a modest increase in rents every two to five years within the lease term. Our leases usually allow extensions by mutual agreement. In addition, our lessors are typically required to notify us in advance if they intend to sell or dispose of their properties, in which case we have a right of first refusal to purchase the properties on equivalent terms and conditions.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Design, Procurement and Construction.</w:t>
      </w:r>
      <w:r>
        <w:rPr>
          <w:rFonts w:ascii="Times New Roman;Times;serif" w:hAnsi="Times New Roman;Times;serif"/>
          <w:sz w:val="20"/>
        </w:rPr>
        <w:t xml:space="preserve"> Once a lease agreement has been executed, we engage design firms and construction companies to begin the renovation work. As of December 31, 2022, we have put together a diversified list of 40 design firms that we normally work with. These firms on the list are familiar with our standards as a result of years of collaboration. Our MRPS handles procurement of construction materials. We gather procurement requests from all our leased hotels, request for fee quote from at least three supplies, and enter into negotiations and eventually supply agreements with the suitable supplier. We collectively purchase from the suppliers and distribute the materials to each leased hotel based on its request. Our contracts with construction companies typically contain warranties for quality and requirements for timely completion of construction. Contractors or suppliers are typically required to compensate us in the event of delays or poor work quality.</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Hotel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hotel management team has accumulated significant experience with respect to the operation of hotels. Building on this experience, our management team has developed a robust operational platform for our nationwide operations, implemented a rigorous budgeting process, and utilized our real-time information systems to monitor our hotel performance. We believe these systems are critical in maximizing our revenues and profitability. The following are some of the key components of our hotel management infrastructure: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Budgeting.</w:t>
      </w:r>
      <w:r>
        <w:rPr>
          <w:rFonts w:ascii="Times New Roman;Times;serif" w:hAnsi="Times New Roman;Times;serif"/>
          <w:sz w:val="20"/>
        </w:rPr>
        <w:t xml:space="preserve"> Our budget and analysis team prepares a detailed monthly revenue budget for each of our hotels. The hotel budget is prepared based on, among other things, the historical operating performance of each hotel, the performance of comparable hotels and local market conditions. We may adjust the budget upon the occurrence of unexpected events that significantly affect a specific hotel’s operating performance. In addition, our compensation scheme for managers in each hotel is directly linked to their performance reviewed based on our annual budget targets and other customized metrics.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Pricing.</w:t>
      </w:r>
      <w:r>
        <w:rPr>
          <w:rFonts w:ascii="Times New Roman;Times;serif" w:hAnsi="Times New Roman;Times;serif"/>
          <w:sz w:val="20"/>
        </w:rPr>
        <w:t xml:space="preserve"> The room rates of our leased hotels as well as manachised hotels are determined with our fully automated RMS, without the need for constant price adjustments. We have the ultimate control over the room rates of each leased and manachised hotel in our network. Price adjustment requests initiated by each hotel have to be approved by our regional head or headquarter.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Performance Monitoring.</w:t>
      </w:r>
      <w:r>
        <w:rPr>
          <w:rFonts w:ascii="Times New Roman;Times;serif" w:hAnsi="Times New Roman;Times;serif"/>
          <w:sz w:val="20"/>
        </w:rPr>
        <w:t xml:space="preserve"> Through our cloud-based PMS, we are able to monitor each hotel’s occupancy status, ADR, RevPAR and other operating data on a real-time basis. Real-time hotel operating information allows us to adjust our sales efforts and other resources to rapidly capitalize on changes in the market and to maximize operating efficiency.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Cash Management.</w:t>
      </w:r>
      <w:r>
        <w:rPr>
          <w:rFonts w:ascii="Times New Roman;Times;serif" w:hAnsi="Times New Roman;Times;serif"/>
          <w:sz w:val="20"/>
        </w:rPr>
        <w:t xml:space="preserve"> Our leased hotels deposit cash into our central account several times a week. We also generally centralize all payments for expenditures. Our manachised hotels manage their cash separately.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Supply Chain and Procurement.</w:t>
      </w:r>
      <w:r>
        <w:rPr>
          <w:rFonts w:ascii="Times New Roman;Times;serif" w:hAnsi="Times New Roman;Times;serif"/>
          <w:sz w:val="20"/>
        </w:rPr>
        <w:t xml:space="preserve"> Our MRPS handles all procurement requests relating to operating supplies and our private label consumer goods. Leveraging the scale of our hotel network and our highly- efficient centralized procurement system, we believe we have the purchasing power to secure favorable terms from suppliers for all of our hotels. We generally require franchisees to procure certain construction materials and most of operating supplies from us. Construction materials include floor, ceiling, etc. Operating supplies include standard guest room amenities.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Training.</w:t>
      </w:r>
      <w:r>
        <w:rPr>
          <w:rFonts w:ascii="Times New Roman;Times;serif" w:hAnsi="Times New Roman;Times;serif"/>
          <w:sz w:val="20"/>
        </w:rPr>
        <w:t xml:space="preserve"> We have made the training of our employees and education of our franchisees one of our top priorities. Our </w:t>
      </w:r>
      <w:r>
        <w:rPr>
          <w:rFonts w:ascii="Times New Roman;Times;serif" w:hAnsi="Times New Roman;Times;serif"/>
          <w:i/>
          <w:sz w:val="20"/>
        </w:rPr>
        <w:t>Jimu</w:t>
      </w:r>
      <w:r>
        <w:rPr>
          <w:rFonts w:ascii="Times New Roman;Times;serif" w:hAnsi="Times New Roman;Times;serif"/>
          <w:sz w:val="20"/>
        </w:rPr>
        <w:t xml:space="preserve"> College offers well-designed training programs to our on-site hotel managers and HR representatives and certifies them for deployment. Our hotel managers and HR representatives are required to attend a one-month comprehensive on-site training and shadowing program, covering topics such as our corporate culture, safety standard, customer service, hotel operation standards and human resource management, followed by a three-month probation period. A substantial number of our hotel managers and HR representatives have received training completion certificates. Our </w:t>
      </w:r>
      <w:r>
        <w:rPr>
          <w:rFonts w:ascii="Times New Roman;Times;serif" w:hAnsi="Times New Roman;Times;serif"/>
          <w:i/>
          <w:sz w:val="20"/>
        </w:rPr>
        <w:t>Jimu</w:t>
      </w:r>
      <w:r>
        <w:rPr>
          <w:rFonts w:ascii="Times New Roman;Times;serif" w:hAnsi="Times New Roman;Times;serif"/>
          <w:sz w:val="20"/>
        </w:rPr>
        <w:t xml:space="preserve"> College has prepared a new-hire training package to standardize the training for hotel-based staff across our hotel chain group.</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Manachised hotel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manage our manachised hotels and impose the same standards on all manachised hotels to ensure product quality and consistency across our hotel network.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Franchise and Management.</w:t>
      </w:r>
      <w:r>
        <w:rPr>
          <w:rFonts w:ascii="Times New Roman;Times;serif" w:hAnsi="Times New Roman;Times;serif"/>
          <w:sz w:val="20"/>
        </w:rPr>
        <w:t xml:space="preserve"> We authorize a manachised hotel to use our relevant Atour brand name, logo and relevant trademarks. The franchisee is responsible for the hotel’s construction, renovation and maintenance. We provide guidance to the franchisee on the construction or renovation of the hotel and require the hotel to meet our standards before approving it to commence operations. We appoint and train hotel managers and on-site HR representatives who are responsible for hiring hotel staff and managing daily operations of our manachised hotels. We also provide our franchisees with comprehensive management services, including central reservation, revenue management, sales and marketing support, technology support, quality assurance inspections and other operational support and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Fee Arrangements.</w:t>
      </w:r>
      <w:r>
        <w:rPr>
          <w:rFonts w:ascii="Times New Roman;Times;serif" w:hAnsi="Times New Roman;Times;serif"/>
          <w:sz w:val="20"/>
        </w:rPr>
        <w:t xml:space="preserve"> We generally charge our franchisees an upfront franchise fee at a rate of RMB4,000 to RMB6,000 per room, depending on the brand of the manachised hotel, as well as fees related to pre-opening services, including information system installation service, and services related to the assistance on employee training and other hotel opening preparation activities. After a manachised hotel opens, we typically charge the franchisee a monthly franchise and management fee between 5% and 6% of the gross revenues generated by each manachised hotel, depending on the hotel brand. Furthermore, we charge the franchisee a fixed monthly hotel managers fee, fees for purchase of hotel supplies and other products, and other on-going service fees, such as system and accounting support fees.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Term of Services.</w:t>
      </w:r>
      <w:r>
        <w:rPr>
          <w:rFonts w:ascii="Times New Roman;Times;serif" w:hAnsi="Times New Roman;Times;serif"/>
          <w:sz w:val="20"/>
        </w:rPr>
        <w:t xml:space="preserve"> Our franchise and management agreements for our manachised hotels typically run for a fixed term of 8 to 15 years, and may be extended upon mutual agreement between us and the franchisee three months prior to the expiration of the franchise and management agreements.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Termination.</w:t>
      </w:r>
      <w:r>
        <w:rPr>
          <w:rFonts w:ascii="Times New Roman;Times;serif" w:hAnsi="Times New Roman;Times;serif"/>
          <w:sz w:val="20"/>
        </w:rPr>
        <w:t xml:space="preserve"> We typically have the right to early terminate the franchise and management agreements immediately, if franchisees commit material breaches of the agreements, including unauthorized use of the licensed brand without rectification within the grace period. In all of these circumstances, we can deduct from the franchise fee, keep the franchise deposit collected and claim liquidated damages from the franchisee.</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Leased hotel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33 leased hotels, accounting for approximately 3.5% of our hotels. We manage and operate each aspect of these hotels and bear the corresponding expenses. We are responsible for recruiting, training and supervising the hotel managers and employees, paying for leases and costs associated with construction and renovation of these hotels, and purchasing all supplies and other required equipment.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marketing strategy is designed to enhance our brand recognition and customer loyalty. Building and differentiating the brand image of each of our hotel products is critical to increasing our brand recognition. We focus on targeting the distinct guest segments that each of our hotel products serves and adopting effective marketing measures based on thorough analysis and application of data and analytics. In 2022, over 80% of our room-nights were sold through our direct sales channels and the remaining through OTA channels.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 key component of our marketing efforts is the </w:t>
      </w:r>
      <w:r>
        <w:rPr>
          <w:rFonts w:ascii="Times New Roman;Times;serif" w:hAnsi="Times New Roman;Times;serif"/>
          <w:i/>
          <w:sz w:val="20"/>
        </w:rPr>
        <w:t>A-Card,</w:t>
      </w:r>
      <w:r>
        <w:rPr>
          <w:rFonts w:ascii="Times New Roman;Times;serif" w:hAnsi="Times New Roman;Times;serif"/>
          <w:sz w:val="20"/>
        </w:rPr>
        <w:t xml:space="preserve"> our loyalty program, which unites all of our brands. We believe the </w:t>
      </w:r>
      <w:r>
        <w:rPr>
          <w:rFonts w:ascii="Times New Roman;Times;serif" w:hAnsi="Times New Roman;Times;serif"/>
          <w:i/>
          <w:sz w:val="20"/>
        </w:rPr>
        <w:t>A-Card</w:t>
      </w:r>
      <w:r>
        <w:rPr>
          <w:rFonts w:ascii="Times New Roman;Times;serif" w:hAnsi="Times New Roman;Times;serif"/>
          <w:sz w:val="20"/>
        </w:rPr>
        <w:t xml:space="preserve"> loyalty program allows us to build customer loyalty and conduct lower-cost, targeted marketing campaigns. As of December 31, 2022, our </w:t>
      </w:r>
      <w:r>
        <w:rPr>
          <w:rFonts w:ascii="Times New Roman;Times;serif" w:hAnsi="Times New Roman;Times;serif"/>
          <w:i/>
          <w:sz w:val="20"/>
        </w:rPr>
        <w:t>A-Card</w:t>
      </w:r>
      <w:r>
        <w:rPr>
          <w:rFonts w:ascii="Times New Roman;Times;serif" w:hAnsi="Times New Roman;Times;serif"/>
          <w:sz w:val="20"/>
        </w:rPr>
        <w:t xml:space="preserve"> had over 35 million individual members. Leveraging our technology infrastructure, we are able to optimize the efficiency of our internal operations at various levels to better serve our </w:t>
      </w:r>
      <w:r>
        <w:rPr>
          <w:rFonts w:ascii="Times New Roman;Times;serif" w:hAnsi="Times New Roman;Times;serif"/>
          <w:i/>
          <w:sz w:val="20"/>
        </w:rPr>
        <w:t>A-Card</w:t>
      </w:r>
      <w:r>
        <w:rPr>
          <w:rFonts w:ascii="Times New Roman;Times;serif" w:hAnsi="Times New Roman;Times;serif"/>
          <w:sz w:val="20"/>
        </w:rPr>
        <w:t xml:space="preserve"> members.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provide our A-Card members and the general public with convenient, friendly and updated services through our online service system consisting of our mobile app and our Weixin/WeChat mini program. The system provides information and search services for our hotels, such as location, amenities and pricing, reservation services, online payment and online room selection functions, membership registration and management and member community services.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face competition as a hotel manager and franchisor. Competition in China’s hospitality industry generally is based on brand reputation; the attractiveness of the facility; location; room rates; quality and consistency of services; quality of accommodations; variety and quality of amenities; food and beverage options; retail offerings; public areas and other guest services; and the attractiveness of loyalty programs.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properties and brands compete with other hotels, resorts, motels and inns in their respective geographic markets or customer segments, including facilities owned by local interests, individuals, national and international chains, institutions, and investment and pension funds. We believe that our position as a multi-branded manager and franchisor of hotels with unique lifestyle offerings helps us succeed as one of the largest and most innovative hospitality companies in China.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competitors include other branded and independent hotel operating companies, national and international hotel brands and ownership companies.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Our Environmental, Social and Governance (ESG) Initiatives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committed to reduce our environmental footprint and strictly comply with environmental laws, regulations and policies. For example, in accordance with the regional policies in Shanghai and Beijing, we no longer provide disposable amenities in the guest rooms. Our other guest room amenities, including bath robes and towels are sealed in bags, so that we are not required to change them if the guests choose not to use them. Many of our products are also environmental friendly. For example, our beddings are manufactured with natural materials without the use of bleach and fluorescent.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also committed to giving back to our society and communities. The remote and beautiful tea village of </w:t>
      </w:r>
      <w:r>
        <w:rPr>
          <w:rFonts w:ascii="Times New Roman;Times;serif" w:hAnsi="Times New Roman;Times;serif"/>
          <w:i/>
          <w:sz w:val="20"/>
        </w:rPr>
        <w:t>Yaduo</w:t>
      </w:r>
      <w:r>
        <w:rPr>
          <w:rFonts w:ascii="Times New Roman;Times;serif" w:hAnsi="Times New Roman;Times;serif"/>
          <w:sz w:val="20"/>
        </w:rPr>
        <w:t xml:space="preserve"> was afflicted with poverty by the first time we visited. In addition to the inspirations it gave us to create our hotels, we also saw the potential of </w:t>
      </w:r>
      <w:r>
        <w:rPr>
          <w:rFonts w:ascii="Times New Roman;Times;serif" w:hAnsi="Times New Roman;Times;serif"/>
          <w:i/>
          <w:sz w:val="20"/>
        </w:rPr>
        <w:t>Yaduo’s</w:t>
      </w:r>
      <w:r>
        <w:rPr>
          <w:rFonts w:ascii="Times New Roman;Times;serif" w:hAnsi="Times New Roman;Times;serif"/>
          <w:sz w:val="20"/>
        </w:rPr>
        <w:t xml:space="preserve"> tea plantation. Five years after our first visit, we went back to </w:t>
      </w:r>
      <w:r>
        <w:rPr>
          <w:rFonts w:ascii="Times New Roman;Times;serif" w:hAnsi="Times New Roman;Times;serif"/>
          <w:i/>
          <w:sz w:val="20"/>
        </w:rPr>
        <w:t>Yaduo</w:t>
      </w:r>
      <w:r>
        <w:rPr>
          <w:rFonts w:ascii="Times New Roman;Times;serif" w:hAnsi="Times New Roman;Times;serif"/>
          <w:sz w:val="20"/>
        </w:rPr>
        <w:t xml:space="preserve"> with a plan to give back to the village. We guided villagers on plantation at scale, collectively procured their production, and offered </w:t>
      </w:r>
      <w:r>
        <w:rPr>
          <w:rFonts w:ascii="Times New Roman;Times;serif" w:hAnsi="Times New Roman;Times;serif"/>
          <w:i/>
          <w:sz w:val="20"/>
        </w:rPr>
        <w:t>Yaduo</w:t>
      </w:r>
      <w:r>
        <w:rPr>
          <w:rFonts w:ascii="Times New Roman;Times;serif" w:hAnsi="Times New Roman;Times;serif"/>
          <w:sz w:val="20"/>
        </w:rPr>
        <w:t xml:space="preserve"> teas to our guests, providing villagers with a stable stream of income. From April 2018 to April 2019, we worked with 153 households. By the end of 2018, 86% of the households in </w:t>
      </w:r>
      <w:r>
        <w:rPr>
          <w:rFonts w:ascii="Times New Roman;Times;serif" w:hAnsi="Times New Roman;Times;serif"/>
          <w:i/>
          <w:sz w:val="20"/>
        </w:rPr>
        <w:t>Yaduo</w:t>
      </w:r>
      <w:r>
        <w:rPr>
          <w:rFonts w:ascii="Times New Roman;Times;serif" w:hAnsi="Times New Roman;Times;serif"/>
          <w:sz w:val="20"/>
        </w:rPr>
        <w:t xml:space="preserve"> village were lifted out of poverty.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were one of the first hotel groups to provide comprehensive lodging support to medical staff in Wuhan, China during the COVID-19 outbreak in early 2020. We also implemented a variety of rigorous safety and sanitation standards during COVID-19 and strived to remain open in selected locations to provide accommodation services for those in need, subject to governmental regulations and mandated hotel closures.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regard our trademarks, copyrights, domain names, trade secrets and other intellectual property rights as critical to our business. We rely on a combination of copyright and trademark law, trade secret protection and confidentiality agreements with our employees, lecturers, business partners and others, to protect our intellectual property rights. In particular, we protect our intellectual properties, including trademarks for our brand names, primarily through the following measures: (i) we timely apply for registration of trademarks we use and a broad range of defensive trademarks for each of our brands in jurisdictions where we operate as well as in other targeted markets, and (ii) we continuously monitor third parties’ infringements of our intellectual property rights, including our brand names and trademarks, and file claims with market regulation authorities and bring intellectual property infringement lawsuits to protect our rights.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registered 1,056 trademarks and logos with the China Trademark Office. The trademarks and logos currently used in our current hotels are under protection of the registered trademarks and logos. As of December 31, 2022, an additional 175 trademark applications were under review by the PRC authorities. As of the same date, we also registered 57 trademarks and filed 1 trademark applications outside China. We also received copyright registration certificates for 16 software programs developed by us and registered 7 patents in China as of December 31, 2022. As of the same date, 2 patent applications were under review in China. In addition, we registered 62 national and international top-level domain names, including yaduo.com, as of December 31, 2022.  Our intellectual property is subject to risks of theft and other unauthorized use, and our ability to protect our intellectual property from unauthorized use is limited. In addition, we may be subject to claims that we have infringed the intellectual property rights of others. See “Item 3. Key Information—3.D. Risk Factors—Risks Related to Our Business and Industry—Any failure to protect our trademarks and other intellectual property rights could have a negative impact on our business.”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Data Privacy and Protection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place a strong emphasis on data security. We have in place extensive policies, processes, network architecture, and software to protect customer data.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personal information of our guests customarily required for their hotel booking, check-ins and check-outs, including their names, ID numbers, mobile phone numbers and email addresses. To ensure the confidentiality and integrity of our guests’ data, we maintain comprehensive and rigorous data security measures.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authorization. Our manachised hotels use our operation systems to collect the guests’ data, and the data are then stored on the highly secured server that we rent from third-party cloud service providers. Only authorized staff of our manachised hotels can read and record the data, and our systems keep records of their access to the data. We have also implemented measures restricting data access and prohibiting data exporting for those hotels.</w:t>
      </w:r>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Insurance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hotels are covered by adequate property and liability insurance policies with coverage features and insured limits that we believe are customary for similar companies in China. We also require our franchisees to carry adequate property and liability insurance policies. We carry property insurance that covers the assets that we own at our hotels.  Although we require our franchisees to purchase customary insurance policies, we cannot guarantee that they will adhere to such requirements. If we were held liable for amounts and claims exceeding the limits of our insurance coverage or outside the scope of our insurance coverage, our business, results of operations and financial condition may be materially and adversely affected. See “Item 3. Key Information—3.D. Risk Factors—Risks Related to Our Business and Industry—We have limited insurance coverage.”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sz w:val="20"/>
        </w:rPr>
      </w:pPr>
      <w:r>
        <w:rPr>
          <w:rFonts w:ascii="Times New Roman;Times;serif" w:hAnsi="Times New Roman;Times;serif"/>
          <w:b/>
          <w:sz w:val="20"/>
        </w:rPr>
        <w:t>Regulations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section sets forth a summary of the principal PRC laws and regulations relevant to our business and operations in China.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hospitality industry in China is subject to a number of laws and regulations, including laws and regulations relating specifically to hotel operation and management and commercial franchising, as well as those relating to environmental and consumer protection. The principal regulations governing foreign ownership of hotel businesses in the PRC are the Special Administrative Measures (Negative List) for the Access of Foreign Investment (Edition 2021) issued on December 27, 2021, which became effective on January 1, 2022 and the Industry Guidelines on Encouraged Foreign Investment (Edition 2022) issued on October 26, 2022, which became effective as of January 1, 2023, both of which were promulgated by the PRC Ministry of Commerce, or the MOFCOM, and the National Development and Reform Commission, or the NRDC. Pursuant to these regulations, there are no restrictions on foreign investment in limited service hotel businesses in China aside from business licenses and other permits that every hotel must obtain. Similar with other industries in China, regulations governing the hospitality industry in China are still developing and evolving. As a result, most legislative actions consist of general measures such as industry standards, rules or circulars issued by different ministries rather than detailed legislations. This section summarizes the principal PRC laws and regulations currently relevant to our business and operations.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Hotel Operation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Ministry of Public Security issued the Measures for the Control of Security in the Hospitality Industry in November 1987, which were amended in January 2011, November 2020 and March 2022, and the State Council promulgated the Decision of the State Council on Establishing Administrative License for Necessarily Retained Items Requiring Administrative Examination and Approval in June 2004 and amended it in January 2009 and August 2016, respectively. Under these two regulations, anyone who applies to operate a hotel is subject to examination and approval by the local public security authority and must obtain a special industry license. The Measures for the Control of Security in the Hospitality Industry impose certain security control obligations on the operators. For example, the hotel must examine the identification card of any guest to whom accommodation is provided and make an accurate registration. The hotel must also report to the local public security authority if it discovers anyone violating the law or behaving suspiciously or an offender wanted by the public security authority. Pursuant to the Measures for the Control of Security in the Hospitality Industry, hotels failing to obtain the special industry license may be subject to warnings or fines of up to RMB200. In addition, pursuant to the Law of the PRC on Penalties for the Violation of Public Security Administration promulgated in August, 2005 and amended in October 2012, and various local regulations, hotels failing to obtain the special industry license may be subject to warnings, orders to suspend or cease continuing business operations, confiscations of illegal gains or fines. Operators of hotel businesses who have obtained the special industry license but violate applicable administrative regulations may also be subject to revocation of such licenses in serious circumstances.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State Council promulgated the Administrative Regulations on Sanitation of Public Places in April 1987 and amended it in February 2016 and in April 2019, according to which, a hotel must obtain a public area hygiene license before opening for business. Pursuant to this regulation, hotels failing to obtain a public area hygiene license may be subject to the following administrative penalties depending on the seriousness of their respective activities: (i) warnings; (ii) fines; or (iii) orders to suspend or cease continuing business operations. In March 1991, the Ministry of Health promulgated the Implementation Rules of the Administrative Regulations on Sanitation of Public Places, which was most recently amended in December 2017, according to which, hotel operators shall establish sanitation management system and keep records of sanitation management. The Standing Committee of the National People’s Congress, or the SCNPC, enacted the Food Safety Law of the PRC in February 2009, which was most recently amended in April 2021, according to which any hotel that provides food must obtain a license. China Food and Drug Administration, or the CFDA, enacted the Administrative Measures on Administration of Food Business Licensing in August 2015 and amended it in November 2017, according to which any entity involving sales of food or food services must obtain a food business license. Pursuant to the Food Safety Law of the PRC, hotels failing to obtain the food business license (or formerly the food service license) may be subject to: (i) confiscation of illegal gains, food illegally produced for sale, and tools, facilities and raw materials used for illegal production; or (ii) fines between RMB50,000 and RMB100,000 if the value of food illegally produced is less than RMB10,000, or fines equal to 10 to 20 times of the value of food if such value is equal to or more than RMB10,000.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Fire Prevention Law of the PRC, promulgated in April 1998 and amended in October 2008, April 2019 and April 2021, respectively, by the SCNPC, and the Provisions on Supervision and Inspection on Fire Prevention and Control, promulgated on April 30, 2009 and effective as of May 1, 2009 and amended on November 1, 2012 by the Ministry of Public Security, and the Interim Provisions on Administration of Review and Examination of Fire Prevention Design of Construction Projects promulgated in April 1, 2020 and effective as of June 1, 2020 by the Ministry of Housing and Urban-rural Construction require that (i) the fire prevention design documents of special construction projects, such as hotels with overall floor area of more than 10,000 square meters, shall be reviewed and inspected by local housing and urban-rural development authorities before construction; (ii) the construction of specific construction projects, such as hotels with overall floor area of more than 10,000 square meters be inspected and accepted by local housing and urban-rural development authorities from a fire prevention perspective before completion; and (iii) the public gathering places, such as hotels, shall complete fire prevention safety inspection with the local fire and rescue department, which is a prerequisite for business opening. Pursuant to these regulations, related hotels failing to obtain approval of fire prevention inspection and acceptance or failing fire prevention safety inspections (including acceptance check and safety check on fire prevention) may be subject to: (i) orders to suspend the construction of projects, use or operation of business; and (ii) fines between RMB30,000 and RMB300,000.</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On October 18, 2010, the General Administration of Quality Supervision, Inspection and Quarantine and Standardization Administration approved and issued Classification and Accreditation for Star-rated Tourist Hotels (GB/T14308-2010), which became effective on January 1, 2011. On November 19, 2010, the Ministry of Culture and Tourism of the PRC, formerly the National Tourist Administration, or the MOCT, promulgated the Implementation Measures of Classification and Accreditation for Star-rated Tourist Hotels, which became effective on January 1, 2011. Under these regulations, all hotels with operations of over one year are eligible to apply for a star rating assessment. There are five ratings from one star to five stars for tourist hotels, assessed based on the level of facilities, management standards and quality of service. A star rating, once granted, is valid for three years.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On September 21, 2012, the Ministry of Commerce promulgated the Provisional Administrative Measures for Single-purpose Commercial Prepaid Cards, which was amended on August 18, 2016. Pursuant to this regulation, if an enterprise engaged in retail, accommodation and catering, or residential services issues any single-purpose commercial prepaid card to its customers, it shall undergo a record-filing procedure. For a hotel primarily engaged in the business of accommodation, the aggregate balance of the advance payment under the single-purpose commercial prepaid cards it issued shall not exceed 40% of its income from its primary business in the previous financial year.</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On April 25, 2013, the SCNPC issued the Tourism Law of the PRC, which became effective on October 1, 2013 and was most recently amended on October 26, 2018. According to this law, the accommodation operators shall fulfill their obligations under the agreements with customers. If the accommodation operators subcontract part of their services to any third party or involve any third party to provide services to customers, the accommodation operators shall assume the joint and several liabilities with the third parties for any damage caused to the customers.</w:t>
      </w:r>
    </w:p>
    <w:p>
      <w:pPr>
        <w:pStyle w:val="TextBody"/>
        <w:pBdr/>
        <w:spacing w:before="0" w:after="200"/>
        <w:ind w:left="0" w:right="0" w:hanging="360"/>
        <w:jc w:val="both"/>
        <w:rPr>
          <w:rFonts w:ascii="Times New Roman;Times;serif" w:hAnsi="Times New Roman;Times;serif"/>
          <w:b/>
          <w:i/>
          <w:sz w:val="20"/>
        </w:rPr>
      </w:pPr>
      <w:r>
        <w:rPr>
          <w:rFonts w:ascii="Times New Roman;Times;serif" w:hAnsi="Times New Roman;Times;serif"/>
          <w:b/>
          <w:i/>
          <w:sz w:val="20"/>
        </w:rPr>
        <w:t>Regulations on Leasing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Law of the PRC on Administration of Urban Real Estate promulgated by the SCNPC, which took effect as of January 1995 and was amended in August 2007, August 2009 and January 2020, respectively, and the Administrative Measures on Leasing of Commodity House promulgated by the Ministry of Housing and Urban-rural Construction, which took effect as of February 1, 2011, when leasing premises, the lessor and lessee are required to enter into a written lease contract, prescribing such provisions as the leasing term, use of the premises, rental and repair liabilities, and other rights and obligations of both parties. Both lessor and lessee are also required to go through registration procedures to record the lease with the real estate administration department. Pursuant to these laws and regulations and various local regulations, if the lessor and lessee fail to go through the registration procedures, both lessor and lessee may be subject to fines, and the leasing interest may be subordinated to an interested third party acting in good faith.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28, 2020, the Civil Code of the People’s Republic of China (the “Civil Code”) was promulgated by the National People’s Congress, and the Civil Code came into effect on January 1, 2021 and replaced the Property Law, the Contract Law of the PRC and several other basic civil laws in the PRC. According to the Civil Code, subject to consent of the lessor, the lessee may sublease the leased item to a third party. Where the lessee subleases the lease item, the leasing contract between the lessee and the lessor remains valid. The lessor is entitled to terminate the contract if the lessee subleases the lease item without the consent of the lessor. Where a lessor knows or should have known of the sublease made by a lessee but fails to raise any objection within six months, the lessor is deemed to have consented to the sublease. Pursuant to the Civil Code, where a mortgagor leases the mortgaged property before the mortgage contract is concluded, the previously established leasing relation shall not be affected; and where a mortgagor leases the mortgaged property after the creation of the mortgage interest, the leasing interest will be subordinated to the registered mortgage interest.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Land or Property Use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1986, the SCNPC promulgated the Land Administration Law of the PRC, which was last amended on August 26, 2019 and became effective on January 1, 2020. In January 1991, the State Council published Rules for Implementation of the Land Administration Law of the PRC which was last amended on July 2, 2021 and came into effect on September 1, 2021. According to the regulations, enterprises and individuals shall use land strictly in accordance with the purpose stipulated in the land use master plan. Changes to the purpose of the use of land in accordance with laws must be supported by approval documents, and an application for the change of registration must be submitted to the land administration department of the people’s government above county level in which the land is situated. The change registration shall be carried out by the original land registration administrative authority in accordance with law. If the enterprises or individuals do not use state-owned land in accordance with the approved land use purpose, the natural resources administrative department of the people’s government at county level and above shall order the party concerned to hand over the land.</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Consumer Protection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1993, the SCNPC promulgated the Law of the PRC on the Protection of the Rights and Interests of Consumers, or the Consumer Protection Law, which became effective on January 1, 1994 and was amended on March 15, 2014. Under the Consumer Protection Law, a business operator providing a commodity or service to a consumer is subject to a number of requirements, including the following:</w:t>
      </w:r>
    </w:p>
    <w:tbl>
      <w:tblPr>
        <w:tblW w:w="6801" w:type="dxa"/>
        <w:jc w:val="left"/>
        <w:tblInd w:w="0" w:type="dxa"/>
        <w:tblCellMar>
          <w:top w:w="0" w:type="dxa"/>
          <w:left w:w="0" w:type="dxa"/>
          <w:bottom w:w="0" w:type="dxa"/>
          <w:right w:w="0" w:type="dxa"/>
        </w:tblCellMar>
      </w:tblPr>
      <w:tblGrid>
        <w:gridCol w:w="124"/>
        <w:gridCol w:w="181"/>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4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ensure that commodities and services meet with certain safety requirements;</w:t>
            </w:r>
          </w:p>
        </w:tc>
      </w:tr>
    </w:tbl>
    <w:tbl>
      <w:tblPr>
        <w:tblW w:w="3231" w:type="dxa"/>
        <w:jc w:val="left"/>
        <w:tblInd w:w="0" w:type="dxa"/>
        <w:tblCellMar>
          <w:top w:w="0" w:type="dxa"/>
          <w:left w:w="0" w:type="dxa"/>
          <w:bottom w:w="0" w:type="dxa"/>
          <w:right w:w="0" w:type="dxa"/>
        </w:tblCellMar>
      </w:tblPr>
      <w:tblGrid>
        <w:gridCol w:w="124"/>
        <w:gridCol w:w="181"/>
        <w:gridCol w:w="29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29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protect the safety of consumers;</w:t>
            </w:r>
          </w:p>
        </w:tc>
      </w:tr>
    </w:tbl>
    <w:tbl>
      <w:tblPr>
        <w:tblW w:w="9891" w:type="dxa"/>
        <w:jc w:val="left"/>
        <w:tblInd w:w="0" w:type="dxa"/>
        <w:tblCellMar>
          <w:top w:w="0" w:type="dxa"/>
          <w:left w:w="0" w:type="dxa"/>
          <w:bottom w:w="0" w:type="dxa"/>
          <w:right w:w="0" w:type="dxa"/>
        </w:tblCellMar>
      </w:tblPr>
      <w:tblGrid>
        <w:gridCol w:w="124"/>
        <w:gridCol w:w="181"/>
        <w:gridCol w:w="958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58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disclose serious defects of a commodity or a service and to adopt preventive measures against damage occurrence;</w:t>
            </w:r>
          </w:p>
        </w:tc>
      </w:tr>
    </w:tbl>
    <w:tbl>
      <w:tblPr>
        <w:tblW w:w="8286" w:type="dxa"/>
        <w:jc w:val="left"/>
        <w:tblInd w:w="0" w:type="dxa"/>
        <w:tblCellMar>
          <w:top w:w="0" w:type="dxa"/>
          <w:left w:w="0" w:type="dxa"/>
          <w:bottom w:w="0" w:type="dxa"/>
          <w:right w:w="0" w:type="dxa"/>
        </w:tblCellMar>
      </w:tblPr>
      <w:tblGrid>
        <w:gridCol w:w="124"/>
        <w:gridCol w:w="181"/>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98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provide consumers with accurate information and to refrain from conducting false advertising;</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obtain consents of consumers and to disclose the rules for the collection and/or use of information when collecting data or information from consumers; to take technical measures and other necessary measures to protect the personal information collected from consumers; not to divulge, sell, or illegally provide consumers’ information to others; not to send commercial information to consumers without the consent or request of consumers or with a clear refusal from consumers;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not to set unreasonable or unfair terms for consumers or alleviate or release itself from civil liability for harming the legal rights and interests of consumers by means of standard contracts, circulars, announcements, shop notices or other means;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to remind consumers in a conspicuous manner to pay attention to the quality, quantity and prices or fees of commodities or services, duration and manner of performance, safety precautions and risk warnings, after-sales service, civil liability and other terms and conditions vital to the interests of consumers under a standard form of agreement prepared by the business operators, and to provide explanations as required by consumers;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not to insult or slander consumers or to search the person of, or articles carried by, a consumer or to infringe upon the personal freedom of a consumer.</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Business operators may be subject to civil liabilities for failing to fulfill the obligations discussed above. These liabilities include ceasing infringement, restoring the consumer’s reputation, eliminating the adverse effects suffered by the consumer, and offering an apology and compensation for any losses incurred. The following penalties may also be imposed upon business operators for the infraction of these obligations: issuance of a warning, confiscation of any illegal income, imposition of a fine, an order to cease business operation, revocation of its business license or imposition of criminal liabilities under circumstances that are specified in laws and statutory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Environmental Protection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2012, the SCNPC issued the newly amended Law of the PRC on Promoting Clean Production, which regulates service enterprises such as restaurants, entertainment establishments and hotels and requires them to use technologies and equipment that conserve energy and water, serve other environmental protection purposes, and reduce or stop the use of consumer goods that waste resources or pollute the environment.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Environmental Protection Law of the PRC promulgated by the SCNPC on December 26, 1989 and last amended on April 24, 2014, the Environmental Impact Assessment Law of the PRC promulgated by the SCNPC on October 28, 2002 and last amended on December 29, 2018, and the Administrative Regulations on Environmental Protection for Construction Projects promulgated by the State Council on November 29, 1998 and amended on July 16, 2017 and came into effect on October 1, 2017, hotels located in environmental sensitive areas shall submit a Report Form on Environmental Impact Assessment to competent environmental protection authorities for approvals before commencing the construction. Pursuant to the Environmental Impact Assessment Law of the PRC, any hotel failing to obtain the approval of the Report/Form of Environmental Impact Assessment may be ordered to cease construction and restore the property to its original state, and according to the violation activities committed and the harmful consequences thereof, be subject to fines of no less than 1% but no more than 5% of the total investment amount for the construction project of such hotel. The person directly responsible for the project may be subject to certain administrative penalties.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Commercial Franchising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Franchise operations are subject to the supervision and administration of the MOFCOM, and its regional counterparts. Such activities are currently regulated by the Administrative Regulations on Commercial Franchising, which was promulgated by the State Council on February 6, 2007 and became effective on May 1, 2007. The Administrative Regulations on Commercial Franchising were subsequently supplemented by the Administrative Measures on Filing of Commercial Franchises, which was newly amended and promulgated by the MOFCOM on December 12, 2011 and became effective on February 1, 2012, and the newly amended Administrative Measures on Information Disclosure of Commercial Franchises, which was promulgated by the MOFCOM on February 23, 2012 and became effective on April 1, 2012.</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above applicable regulations, a franchisor must have certain prerequisites including a mature business model, the capability to provide long-term business guidance and training services to franchisees and ownership of at least two self-operated storefronts that have been in operation for at least one year within China. Franchisors engaged in franchising activities without satisfying the above requirements may be subject to penalties such as forfeit of illegal income and imposition of fines between RMB100,000 and RMB500,000 and may be bulletined by the MOFCOM or its local counterparts. Franchise contracts shall include certain required provisions, such as terms, termination rights and payments.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Franchisors are generally required to file franchise contracts with the MOFCOM or its local counterparts. Failure to report franchising activities may result in penalties such as fines up to RMB100,000. Such noncompliance may also be bulletined. In the first quarter of every year, franchisors are required to report to the MOFCOM or its local counterparts any franchise contracts they executed, canceled, renewed or amended in the previous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term of a franchise contract shall be no less than three years unless otherwise agreed by franchisees. The franchisee is entitled to terminate the franchise contract in his sole discretion within a set period of time upon signing of the franchise contract.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Administrative Measures on Information Disclosure of Commercial Franchises, 30 days prior to the execution of franchise contracts, franchisors are required to provide franchisees with copies of the franchise contracts, as well as written true and accurate basic information on matters including:</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name, domiciles, legal representative, registered capital, scope of business and basic information relating to its commercial franchising;</w:t>
            </w:r>
          </w:p>
        </w:tc>
      </w:tr>
    </w:tbl>
    <w:tbl>
      <w:tblPr>
        <w:tblW w:w="8466" w:type="dxa"/>
        <w:jc w:val="left"/>
        <w:tblInd w:w="0" w:type="dxa"/>
        <w:tblCellMar>
          <w:top w:w="0" w:type="dxa"/>
          <w:left w:w="0" w:type="dxa"/>
          <w:bottom w:w="0" w:type="dxa"/>
          <w:right w:w="0" w:type="dxa"/>
        </w:tblCellMar>
      </w:tblPr>
      <w:tblGrid>
        <w:gridCol w:w="124"/>
        <w:gridCol w:w="181"/>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16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basic information relating to the registered trademark, logo, patent, know-how and business model;</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type, amount and method of payment of franchise fees (including payment of deposit and the conditions and method of refund of deposit);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631" w:type="dxa"/>
        <w:jc w:val="left"/>
        <w:tblInd w:w="0" w:type="dxa"/>
        <w:tblCellMar>
          <w:top w:w="0" w:type="dxa"/>
          <w:left w:w="0" w:type="dxa"/>
          <w:bottom w:w="0" w:type="dxa"/>
          <w:right w:w="0" w:type="dxa"/>
        </w:tblCellMar>
      </w:tblPr>
      <w:tblGrid>
        <w:gridCol w:w="124"/>
        <w:gridCol w:w="181"/>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3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price and conditions for the franchisor to provide goods, service and equipment to the franchisee;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detailed plan, provision and implementation plan of consistent services including operational guidance, technical support and business training provided to the franchisee;</w:t>
            </w:r>
          </w:p>
        </w:tc>
      </w:tr>
    </w:tbl>
    <w:tbl>
      <w:tblPr>
        <w:tblW w:w="6741" w:type="dxa"/>
        <w:jc w:val="left"/>
        <w:tblInd w:w="0" w:type="dxa"/>
        <w:tblCellMar>
          <w:top w:w="0" w:type="dxa"/>
          <w:left w:w="0" w:type="dxa"/>
          <w:bottom w:w="0" w:type="dxa"/>
          <w:right w:w="0" w:type="dxa"/>
        </w:tblCellMar>
      </w:tblPr>
      <w:tblGrid>
        <w:gridCol w:w="124"/>
        <w:gridCol w:w="181"/>
        <w:gridCol w:w="64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43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detailed measures for guiding and supervising the operation of the franchisor;</w:t>
            </w:r>
          </w:p>
        </w:tc>
      </w:tr>
    </w:tbl>
    <w:tbl>
      <w:tblPr>
        <w:tblW w:w="5361" w:type="dxa"/>
        <w:jc w:val="left"/>
        <w:tblInd w:w="0" w:type="dxa"/>
        <w:tblCellMar>
          <w:top w:w="0" w:type="dxa"/>
          <w:left w:w="0" w:type="dxa"/>
          <w:bottom w:w="0" w:type="dxa"/>
          <w:right w:w="0" w:type="dxa"/>
        </w:tblCellMar>
      </w:tblPr>
      <w:tblGrid>
        <w:gridCol w:w="124"/>
        <w:gridCol w:w="181"/>
        <w:gridCol w:w="50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05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investment budget for all franchised hotels of the franchisee;</w:t>
            </w:r>
          </w:p>
        </w:tc>
      </w:tr>
    </w:tbl>
    <w:tbl>
      <w:tblPr>
        <w:tblW w:w="7521" w:type="dxa"/>
        <w:jc w:val="left"/>
        <w:tblInd w:w="0" w:type="dxa"/>
        <w:tblCellMar>
          <w:top w:w="0" w:type="dxa"/>
          <w:left w:w="0" w:type="dxa"/>
          <w:bottom w:w="0" w:type="dxa"/>
          <w:right w:w="0" w:type="dxa"/>
        </w:tblCellMar>
      </w:tblPr>
      <w:tblGrid>
        <w:gridCol w:w="124"/>
        <w:gridCol w:w="181"/>
        <w:gridCol w:w="72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21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current numbers, territory and operation evaluation of the franchisees within China;</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 summary of accounting statements audited by an accounting firm and a summary of audit reports for the previous two years;</w:t>
            </w:r>
          </w:p>
        </w:tc>
      </w:tr>
    </w:tbl>
    <w:tbl>
      <w:tblPr>
        <w:tblW w:w="8226" w:type="dxa"/>
        <w:jc w:val="left"/>
        <w:tblInd w:w="0" w:type="dxa"/>
        <w:tblCellMar>
          <w:top w:w="0" w:type="dxa"/>
          <w:left w:w="0" w:type="dxa"/>
          <w:bottom w:w="0" w:type="dxa"/>
          <w:right w:w="0" w:type="dxa"/>
        </w:tblCellMar>
      </w:tblPr>
      <w:tblGrid>
        <w:gridCol w:w="124"/>
        <w:gridCol w:w="181"/>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92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information on any lawsuit in which the franchisor has been involved in the previous five years;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basic information regarding whether the franchisor and its legal representative have any record of material violation; and</w:t>
            </w:r>
          </w:p>
        </w:tc>
      </w:tr>
    </w:tbl>
    <w:tbl>
      <w:tblPr>
        <w:tblW w:w="5376" w:type="dxa"/>
        <w:jc w:val="left"/>
        <w:tblInd w:w="0" w:type="dxa"/>
        <w:tblCellMar>
          <w:top w:w="0" w:type="dxa"/>
          <w:left w:w="0" w:type="dxa"/>
          <w:bottom w:w="0" w:type="dxa"/>
          <w:right w:w="0" w:type="dxa"/>
        </w:tblCellMar>
      </w:tblPr>
      <w:tblGrid>
        <w:gridCol w:w="124"/>
        <w:gridCol w:w="181"/>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07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other information required to be disclosed by the MOFCOM.</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the event of failure to disclose or misrepresentation, the franchisee may terminate the franchise contract and the franchisor may be fined up to RMB100,000. In addition, such noncompliance may be bulletined.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According to the Manual of Guidance on Administration for Foreign Investment Access (Edition 2008) promulgated by the MOFCOM in December 2008, if an existing foreign-invested company wishes to operate a franchise in China, it must apply to the MOFCOM or its local counterparts and must include “engaging in commercial activities by way of franchise” in its business scope.</w:t>
      </w:r>
    </w:p>
    <w:p>
      <w:pPr>
        <w:pStyle w:val="TextBody"/>
        <w:pBdr/>
        <w:spacing w:before="0" w:after="200"/>
        <w:ind w:left="0" w:right="0" w:hanging="360"/>
        <w:jc w:val="both"/>
        <w:rPr>
          <w:rFonts w:ascii="Times New Roman;Times;serif" w:hAnsi="Times New Roman;Times;serif"/>
          <w:b/>
          <w:i/>
          <w:sz w:val="20"/>
        </w:rPr>
      </w:pPr>
      <w:r>
        <w:rPr>
          <w:rFonts w:ascii="Times New Roman;Times;serif" w:hAnsi="Times New Roman;Times;serif"/>
          <w:b/>
          <w:i/>
          <w:sz w:val="20"/>
        </w:rPr>
        <w:t>Regulations on Intellectual Property Rights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PRC Copyright Law, which took effect on June 1, 1991 and was subsequently amended on October 27, 2001, on February 26, 2010 and on November 11,2020, respectively,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an infringer of the copyrights shall be subject to various civil liabilities, which include ceasing infringement activities, apologizing to the copyright owners and compensating the loss of copyright owner. Infringers of copyright may also be subject to fines and/or administrative or criminal liabilities in severe situations.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Computer Software Protection Regulations promulgated by the State Council on June 4, 1991 and subsequently amended on December 20, 2001 and on January 30, 2013, Chinese citizens, legal persons and other organizations shall enjoy copyright on software they develop, regardless of whether the software is released publicly. Software copyright commences from the date on which the development of the software is completed. The protection period for software copyright of a legal person or other organizations shall be 50 years, concluding on December 31 of the 50th year after the software’s initial release.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Both the Trademark Law of the PRC adopted by the SCNPC on August 23, 1982 and last amended on November 1, 2019, and the Implementation Regulation of the Trademark Law of the PRC adopted by the State Council on August 3, 2002 and revised on April 29, 2014 give protection to the holders of registered trademarks and trade names. The National Intellectual Property Administration (Trademark Office) handles trademark registrations. Trademarks can be registered for a term of ten years and can be extended for another ten years if requested upon expiration of any ten-year term. Trademark license agreements must be filed with the Trademark Office.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Administrative Measures on Internet Domain Names promulgated by the Ministry of Industry and Information Technology of PRC in August 24, 2017 and took effect on November 1, 2017. The registration of domain names in PRC is on a “first-apply-first-registration” basis. A domain name applicant will become the domain name holder upon the completion of the application procedure.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PRC Patent Law which was promulgated by the SCNPC on March 12, 1984 and amended on August 25, 2000, on December 27, 2008 and on October 17, 2020, and its implementation rules, once a patent for an invention or utility model has been granted, unless otherwise provided by the Patent Law, no entity or individual may use the patent, patented product or patented process for production or business purposes without the authorization of the patent owner. Once a patent has been granted for a design, no entity or individual may manufacture, sell or import any product containing the patented design without the permission of the patent owner. If a patent is found to have been infringed, the infringer must, in accordance with relevant regulations, cease such infringement, take remedial action and pay damages.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Taxation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Enterprise Income Tax Law of the PRC, or the EIT Law, which was promulgated on March 16, 2007, and came into effect on January 1, 2008 and was amended by the SCNPC on February 24, 2017 and December 29, 2018, and the Implementation Regulations on the Enterprise Income Tax Law, which was promulgated by the State Council on December 6, 2007 and came into effect on January 1, 2008, and was amended by the State Council on April 23, 2019 and came into effect on the same date, a uniform income tax rate of 25% will be applied to domestic enterprises, foreign-invested enterprises. These enterprises are classified as either resident enterprises or non-resident enterprises. Besides enterprises established within the PRC, enterprises established in accordance with the laws of other judicial districts whose “de facto management bodies” are within the PRC are considered “resident enterprises” and subject to the uniform 25% enterprise income tax rate for their global income. A non-resident enterprise refers to an entity established under foreign law whose “de facto management bodies” are not within the PRC but which have an establishment or place of business in the PRC, or which do not have an establishment or place of business in the PRC but have income sourced within the PRC. An income tax rate of 10% will normally be applicable to dividends declared to or any other gains realized on the transfer of shares by non-PRC resident enterprise investors that do not have an establishment or place of business in the PRC, or that have such establishment or place of business but the relevant income is not effectively connected with the establishment or place of business, to the extent such dividends are derived from sources within the PRC.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Arrangement for the Avoidance of Double Taxation and Tax Evasion between Mainland of China and Hong Kong entered into between Mainland China and the Hong Kong Special Administrative Region on August 21, 2006, if the non-PRC parent company of a PRC enterprise is a Hong Kong resident which directly owns 25% or more of the equity interest of the PRC foreign-invested enterprise which pays the dividends and interests, the 10% withholding tax rate applicable under the EIT Law may be lowered to 5% for dividends and 7% for interest payments if a Hong Kong resident enterprise is determined by the competent PRC tax authority to have satisfied the relevant conditions and requirements under such Double Tax Avoidance Arrangement and other applicable laws. However, according to the Notice on the Certain Issues with Respect to the Enforcement of Dividend Provisions in Tax Treaties, which was promulgated by the State Administration of Taxation or the SAT on February 20, 2009 and which came into effect on the same date, if the relevant PRC tax authorities determine, in their discretion, that a company benefits unjustifiably from such reduced income tax rate due to a structure or arrangement that is primarily tax-driven, such PRC tax authorities may adjust the preferential tax treatment; and based on the Announcement of the Certain Issues with Respect to the “Beneficial Owner” in Tax Treaties, issued by the SAT on February 3, 2018 and effective on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Provisional Regulations on Value-added Tax, which was promulgated on December 13, 1993, came into effect on January 1, 1994, and last amended on November 19, 2017, and the Detailed Implementing Rules of the Provisional Regulations on Value-added Tax, which was promulgated on December 25, 1993 and came into effective on the same date, and was amended on December 15, 2008 and October 28, 2011, came into effect on November 1, 2011 set out that all taxpayers selling goods or providing processing, repairing or replacement services, sales of services, intangible assets and immovable assets and importing goods in China shall pay a value-added tax.</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19, 2017, the State Council promulgated the Decisions on Abolishing the Provisional Regulations of the PRC on Business Tax and Amending the Provisional Regulations of the PRC on Value- added Tax, according to which, all enterprises and individuals engaged in the sale of goods, the provision of processing, repair and replacement services, sales of services, intangible assets, real property and the importation of goods within the territory of the PRC are the taxpayers of value-added tax. The value-added tax rates generally applicable are simplified as 17%, 11%, 6% and 0%, and the value-added tax rate applicable to the small-scale taxpayers is 3%. According to the Notice of the Ministry of Finance and the State Administration of Taxation on Adjusting Value-added Tax Rates issued on April 4, 2018 and became effective on May 1, 2018, the deduction rates of 17% and 11% applicable to the taxpayers who have value added tax, taxable sales activities, or imported goods are adjusted to 16% and 10%, respectively. According to the Announcement on Policies for Deepening the Value-added Tax Reform issued by the Ministry of Finance, the SAT and the General Administration of Customs on March 20, 2019 and became effective on April 1, 2019, the value added tax rate was reduced to 13% and 9%, respectively.</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Offline Distribution of Publications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 1997, the State Council of the PRC promulgated the Administrative Regulations on Publishing which was last amended on November 29, 2020. On May 31, 2016, the State Administration of Press, Publication, Radio, Film and MOFCOM jointly issued the Administrative Provisions on the Publication Market, which was effective as of June 1, 2016. According to these regulations, the activities of publication distribution, including publication wholesale or retail activities, which shall be carried with the publication operation license. Without licensing, such entity or individual may be ordered to cease illegal acts by the competent administrative department of publication and SAIC, be subject to confiscation of publication, any illegal income and special tools and equipment for illegal activities, and be concurrently subject to a fine.</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Foreign Currency Exchange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regulations governing foreign currency exchange in China are the Foreign Exchange Control Regulations of the PRC promulgated by the State Council, as amended on August 5, 2008, or the Foreign Exchange Regulations. Under the Foreign Exchange Regulations, the RMB is freely convertible for current account items, including goods, services, gains and transaction items, but not for capital account items, such as capital transfers, direct investments, investment in securities, derivatives and loans, unless the prior approval of the State Administration of Foreign Exchange, or the SAFE, is obtained and prior registration with the SAFE is made.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Circular on Reforming the Management Method regarding the Settlement of Foreign Exchange Capital of Foreign-invested Enterprises (“Circular 19”), promulgated on March 30, 2015 and last amended on December 30, 2019, allows foreign-invested enterprises to make equity investments by using RMB funds converted from foreign exchange capital. Under the Circular 19, the foreign exchange capital in the capital account of foreign-invested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willingness-based foreign exchange settlement of capital for foreign-invested enterprises is temporarily set at 100%. The SAFE can adjust such proportion in due time based on the circumstances of the international balance of payments. However, the Circular 19 and the Circular on Reforming and Regulating the Management Policies on the Settlement of Capital Projects continues to prohibit foreign-invested enterprises from, among other things, using RMB fund converted from its foreign exchange capitals for expenditure beyond its business scope, investment and financing in securities and other investments except for bank’s principal-secured products, providing loans to non-affiliated enterprises or constructing or purchasing real estate not for self-use.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23, 2019, the SAFE promulgated the Circular on Further Promoting the Facilitation of Cross-border Trade and Investment (“Circular 28”). Pursuant to Circular 28, on the basis of allowing investment- oriented foreign-invested enterprise (including foreign-invested investment companies, foreign-invested venture capital enterprises and foreign-invested equity investment enterprises) to use capital funds for domestic equity investment in accordance with laws and regulations, non-investment foreign-invested enterprises shall be allowed to use capital funds for domestic equity investment in accordance with the laws under the premise of not violating the Negative List and the authenticity and compliance of their domestic invested projects.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Circular on Optimizing Administration of Foreign Exchange to Support the Development of Foreign-related Business issued by the SAFE on April 10, 2020, eligible enterprises are allowed to make domestic payments by using their capital funds, foreign credits and the income under capital accounts of overseas listing, with no need to provide the evidentiary materials concerning authenticity of such capital for banks in advance, provided that their capital use shall be authentic and in line with provisions, and conform to the prevailing administrative regulations on the use of income under capital accounts. The concerned bank shall conduct spot checking in accordance with the relevant requirements.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25, 2006, the People’s Bank of China issued the Administration Measures on Individual Foreign Exchange Control and its Implementation Rules were issued by the SAFE on January 5, 2007, both of which became effective on February 1, 2007. The Implementation Rules was later amended on May 29, 2016. Under these regulations, all foreign exchange matters involved in the employee stock ownership plan, stock option plan and other similar plans, participated by onshore individuals shall be transacted upon approval from the SAFE or its authorized branch. On February 15, 2012, the SAFE promulgated the Notice on Relevant Issues Concerning Foreign Exchange Control on Domestic Individuals Participating in the Stock Incentive Plan of An Overseas Listed Company, or Circular 7, to replace the Operating Procedures for Administration of Domestic Individuals Participating in the Employee Stock Option Plan or Stock Option Plan of An Overseas Listed Company. Under Circular 7, the board members, supervisors, officers or other employees, including PRC citizens and foreigners having lived within the territory of the PRC successively for at least one year of a PRC entity, who participate in stock incentive plans or stock option plans by an overseas publicly listed company, or the PRC participants, are required, through a PRC agent or PRC subsidiaries of such overseas publicly-listed company, to complete certain foreign exchange registration procedures with respect to the plans upon the examination by, and approval of, the SAFE. We and our PRC participants who have been granted stock options are subject to Circular 7. If our PRC participants who hold such options or our PRC subsidiary fail to comply with these regulations, such participants and their PRC employer may be subject to fines and legal sanctions.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Foreign Investment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National People’s Congress enacted the Foreign Investment Law of the PRC on March 15, 2019 and the State Council promulgated the Implementation Regulations of Foreign Investment Law of the PRC on December 26, 2019, both of which came into force on January 1, 2020. On December 30, 2019, the MOFCOM and the SAMR jointly promulgated the Measures on Reporting of Foreign Investment Information, which also became effective on January 1, 2020. Under these laws and regulations, foreign investors or foreign-invested enterprises shall report and update investment information to the competent department for commerce through the Enterprise Registration System and the National Enterprise Credit Information Publicity System. Any foreign investor or foreign-invested company found to be non-compliant with these reporting obligations may potentially be subject to fines and legal sanctions.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Investment Law of the PRC, together with its Implementation Regulations replaced, in their entirety, the trio of previous laws regulating foreign investment in China, namely, the Sino-foreign Equity Joint Venture Enterprise Law, the Sino-foreign Cooperative Joint Venture Enterprise Law and the Wholly Foreign-invested Enterprise Law, together with their implementation rules and ancillary regulations. Generally speaking, the Company Law of the PRC or the Partnership Law of the PRC (promulgated by the SCNPC in February 1997 and amended in August 2006) shall apply with respect to the organization of foreign-invested enterprises.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Dividend Distribution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regulations governing distribution of dividends of foreign-invested enterprises include the Company Law of the PRC (the “Company Law”).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Company Law, companies shall contribute 10% of the profits into their statutory surplus reserve upon distribution of their post-tax profits of the current year. A company may discontinue the contribution when the aggregate sum of the statutory surplus reserve is more than 50% of its registered capital.</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Offshore Financing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21, 2005, the SAFE issued Notice on Relevant Issues Concerning Foreign Exchange Control on Domestic Residents’ Corporate Financing and Roundtrip Investment through Offshore Special Purpose Vehicles, or Circular 75, which became effective as of November 1, 2005. Under Circular 75, if PRC residents use assets or equity interests in their PRC entities as capital contributions to establish offshore special-purpose companies directly or indirectly controlled by such PRC residents to carry out equity financing overseas and through special-purpose companies to carry out direct investment activities in China, they are required to register with local SAFE branches with respect to their overseas investments in offshore companies and roundtrip investment. PRC residents are also required to file amendments to their registrations if their offshore companies experience material events involving capital variation, such as changes in share capital, share transfers, mergers and acquisitions, spin-off transactions, long-term equity or debt investments or uses of assets in China to guarantee offshore obligations.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Circular 75 applies retroactively. As a result, PRC residents who have established or acquired control of offshore companies that have made onshore investments in the PRC in the past were required to complete the relevant registration procedures with the local SAFE branch by March 31, 2006. Under the relevant rules, failure to comply with the registration procedures set forth in Circular 75 may result in restrictions being imposed on the foreign exchange activities of the relevant onshore company, including the increase of its registered capital, the payment of dividends and other distributions to its offshore parent or affiliate and the capital inflow from the offshore entity, and may also subject relevant PRC residents to penalties under PRC foreign exchange administration regulations. PRC residents who control our company are required to register periodically with the SAFE in connection with their investments in 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SAFE issued a series of guidelines to its local branches with respect to the operational process for SAFE registration, including the Notice of the State Administration of Foreign Exchange on Further Improving and Adjusting Foreign Exchange Administration Policies for Direct Investment, or Circular 59, which came into effect as of December 17, 2012 and last amended on December 30, 2019. The guidelines standardized more specific and stringent supervision on the registration required by Circular 75. For example, the guidelines impose obligations on onshore subsidiaries of an offshore entity to make true and accurate statements to the local SAFE authorities in case any shareholder or beneficial owner of the offshore entity is a PRC citizen or resident. Untrue statements by the onshore subsidiaries will lead to potential liability for the subsidiaries, and in some instances, for their legal representatives and other individuals.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4, 2014, the SAFE issued the Circular of the State Administration of Foreign Exchange on Relevant Issues concerning Foreign Exchange Administration of the Overseas Investment and Financing and Round-trip Investments by Domestic Residents through Special Purpose Vehicles, or Circular 37, which became effective and suspended Circular 75 on the same date, and Circular 37 shall prevail over any other inconsistency between itself and relevant regulations promulgated previously. Pursuant to Circular 37, any PRC residents, including both PRC institutions and individual residents, are required to register with the local branch of the SAFE before making a contribution to an enterprise directly established or indirectly controlled by the PRC residents outside of the PRC for the purpose of overseas investment or financing with their legally owned domestic or offshore assets or equity interests, referred to in this circular as a “special purpose vehicle”. Under Circular 37, the term “PRC institutions” refers to entities with legal person status or other economic organizations established within the territory of the PRC. The term “PRC individual residents” includes all PRC citizens (also including PRC citizens abroad) and foreigners who habitually reside in the PRC for economic benefit. A registered special purpose vehicle is required to amend its SAFE registration with respect to such vehicle in connection with any change of basic information including PRC individual resident shareholder, name, term of operation, or PRC individual resident’s increase or decrease of capital, transfer or exchange of shares, merger, division or other material changes. In addition, if a non-listed special purpose vehicle grants any equity incentives to directors, supervisors or employees of domestic companies under its direct or indirect control, the relevant PRC individual residents could register with the local branch of the SAFE before exercising such options. The SAFE simultaneously issued guidance to its local branches with respect to the implementation of Circular 37. Under Circular 37, failure to comply with the foreign exchange registration procedures may result in restrictions being imposed on the foreign exchange activities of the relevant onshore company, including restrictions on the payment of dividends and other distributions to its offshore parent company and the capital inflow from the offshore entity, and may also subject the relevant PRC residents and onshore company to penalties under the PRC foreign exchange administration regulations.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5, 2023, the National Development and Reform Commission issued the Administrative Measures for Examination and Registration of Medium and Long-term Foreign Debts of Enterprises, which came into effect on February 10, 2023 and replaced the Circular of the National Development and Reform Commission on Promoting the Administrative Reform of the Record-filing and Registration System for the Issuance of Foreign Debts by Enterprises. According to the Administrative Measures for Examination and Registration of Medium and Long-term Foreign Debts of Enterprises, enterprises shall, prior to the borrowing of foreign debts, obtain the certificate of examination and registration of foreign debts borrowed by enterprises and complete the formalities of examination and registration. Enterprises that have not completed examination and registration formalities are not allowed to borrow foreign debts.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Merger and Acquisition and Overseas Listing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8, 2006, six PRC regulatory agencies, including the China Securities Regulatory Commission, or the CSRC, adopted the Regulations on Mergers of Domestic Enterprises by Foreign Investors, or the M&amp;A Rules, which became effective on September 8, 2006 and was amended on June 22, 2009. Foreign investors shall comply with the M&amp;A Rules when they purchase equity interests of a domestic company or subscribe the increased capital of a domestic company, and thus changing the nature of the domestic company into a foreign-invested enterprise; or when the foreign investors establish a foreign-invested enterprise in the PRC, through which to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who also control such PRC domestic companies, to obtain the approval of CSRC prior to publicly listing their securities on an overseas stock exchange.</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 on Security Review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2011, the MOFCOM promulgated the Rules of Ministry of Commerce on Implementation of Security Review System of Mergers and Acquisitions of Domestic Enterprises by Foreign Investors, or the MOFCOM Security Review Rule, which came into effect on September 1, 2011, to implement the Notice of the General Office of the State Council on Establishing the Security Review System for Mergers and Acquisitions of Domestic Enterprises by Foreign Investors promulgated on February 3, 2011. Under these regulations, a security review is required for foreign investors’ mergers and acquisitions having “national defense and security” implications and mergers and acquisitions by which foreign investors may acquire “de facto control” of domestic enterprises having “national security” implications. In addition, when deciding whether a specific merger or acquisition of a domestic enterprise by foreign investors is subject to a security review, the MOFCOM will look into the substance and actual impact of the transaction. The MOFCOM Security Review Rule further prohibits foreign investors from bypassing the security review requirement by structuring transactions through proxies, trusts, indirect investments, leases, loans, control through contractual arrangements or offshore transactions.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19, 2020, the NDRC and MOFCOM promulgated the Measures for the Security Review of Foreign Investments which became effective on January 18, 2021. Under the Security Review of Foreign Investments, for foreign investments that affect or may affect national security, security review shall be conducted by the office led by NDRC and MOFCOM. For the purpose of these Measures, the term “foreign investment” refers to the investment activities carried out by foreign investors directly or indirectly within the territory of the PRC, including the following circumstances: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where foreign investors invest, solely or jointly with other investors, in new projects or establishing enterprises in the PRC;</w:t>
            </w:r>
          </w:p>
        </w:tc>
      </w:tr>
    </w:tbl>
    <w:tbl>
      <w:tblPr>
        <w:tblW w:w="9201" w:type="dxa"/>
        <w:jc w:val="left"/>
        <w:tblInd w:w="0" w:type="dxa"/>
        <w:tblCellMar>
          <w:top w:w="0" w:type="dxa"/>
          <w:left w:w="0" w:type="dxa"/>
          <w:bottom w:w="0" w:type="dxa"/>
          <w:right w:w="0" w:type="dxa"/>
        </w:tblCellMar>
      </w:tblPr>
      <w:tblGrid>
        <w:gridCol w:w="124"/>
        <w:gridCol w:w="181"/>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89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where foreign investors acquire equity or assets of domestic enterprises by way of merger and acquisition; or</w:t>
            </w:r>
          </w:p>
        </w:tc>
      </w:tr>
    </w:tbl>
    <w:tbl>
      <w:tblPr>
        <w:tblW w:w="6261" w:type="dxa"/>
        <w:jc w:val="left"/>
        <w:tblInd w:w="0" w:type="dxa"/>
        <w:tblCellMar>
          <w:top w:w="0" w:type="dxa"/>
          <w:left w:w="0" w:type="dxa"/>
          <w:bottom w:w="0" w:type="dxa"/>
          <w:right w:w="0" w:type="dxa"/>
        </w:tblCellMar>
      </w:tblPr>
      <w:tblGrid>
        <w:gridCol w:w="124"/>
        <w:gridCol w:w="181"/>
        <w:gridCol w:w="59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9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where foreign investors make investments in the PRC in any other form.</w:t>
            </w:r>
          </w:p>
        </w:tc>
      </w:tr>
    </w:tbl>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 on Information Protection on Networks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28, 2012, SCNPC issued Decision of the Standing Committee of the National People’s Congress on Strengthening Information Protection on Networks, pursuant to which network service providers and other enterprises and institutions shall, when gathering and using electronic personal information of citizens in business activities, publish their collection and use rules and adhere to the principles of legality, rationality and necessarily, explicitly state the purposes, manners and scopes of collecting and using information, and obtain the consent of those from whom information is collected, and shall not collect and use information in violation of laws and regulations and the agreement between both sides; and the network service providers and other enterprises and institutions and their personnel must strictly keep such information confidential and may not divulge, alter, damage, sell, or illegally provide others with such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16, 2013, the Ministry of Industry and Information Technology, or the MIIT, issued the Provisions on the Protection of Personal Information of Telecommunication and Internet User, which was effective on September 1, 2013. The requirements under this order are stricter and wider compared to the above decision issued by the National People’s Congress. According to the provisions, if a network service provider wishes to collect or use personal information, it may do so only if such collection is necessary for the services it provides. Furthermore, it must disclose to its users the purpose, method and scope of any such collection or usage, and must obtain consent from the users whose information is being collected or used. Network service providers are also required to establish and publish their protocols relating to personal information collection or usage, keep any collected information strictly confidential and take technological and other measures to maintain the security of such information. Network service providers are required to cease any collection or usage of the relevant personal information, and provide services for the users to de-register the relevant user account, when a user stops using the relevant Internet service. Network service providers are further prohibited from divulging, distorting or destroying any such personal information, or selling or providing such personal information unlawfully to other parties. In addition, if a network service provider appoints an agent to undertake any marketing or technical services that involve the collection or usage of personal information, the network service provider is required to supervise and manage the protection of the information. The provisions state, in broad terms, that violators may face warnings, fines, public exposure and, criminal liability whereas the case constitutes a crime.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 2017, the Cybersecurity Law of the PRC promulgated in November, 2016 by SCNPC became effective. This law also absorbed and restated the principles and requirements mentioned in the aforesaid decision and order, and further provides that, where an individual finds any network operator collects or uses his or her personal information in violation of the provisions of any law, regulation or the agreement of both parties, the individual shall be entitled to request the network operator to delete his or her personal information; if the individual finds that his or her personal information collected or stored by the network operator has any error, he or she shall be entitled to request the network operator to make corrections, and the network operator shall take measures to do so. Pursuant to this law, the violators may be subject to: (i) warning; (ii) confiscation of illegal gains and fines equal to one to ten times of the illegal gains; or if without illegal gains, fines up to RMB1,000,000; or (iii) an order to shut down the website, suspend the business operation for rectification, or revoke business license. Besides, responsible persons may be subject to fines between RMB10,000 and RMB100,000.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10, 2021, the SCNPC promulgated the PRC Data Security Law, which came into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2021, the SCNPC officially promulgated the Personal Information Protection Law, which came into effect from November 1, 2021. The Personal Information Protection Law provides detailed rules on handling personal information and legal responsibilities, including but not limited to the scope of personal information and the ways of processing personal information, the establishment of rules for processing personal information, and the individual’s rights and the processor’s obligations in the processing of personal information. The Personal Information Protection Law also strengthens the punishment for those who illegally process personal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28, 2021, the CAC and 12 other relevant PRC government authorities published the amended Cybersecurity Review Measures, which came into effect on February 15, 2022 and supersede and replace the current Cybersecurity Review Measures previously promulgated on April 13, 2020. The final Cybersecurity Review Measures provide that the purchase of network products and services by a “critical information infrastructure operator” (the “</w:t>
      </w:r>
      <w:r>
        <w:rPr>
          <w:rFonts w:ascii="Times New Roman;Times;serif" w:hAnsi="Times New Roman;Times;serif"/>
          <w:b/>
          <w:sz w:val="20"/>
        </w:rPr>
        <w:t>CIIO</w:t>
      </w:r>
      <w:r>
        <w:rPr>
          <w:rFonts w:ascii="Times New Roman;Times;serif" w:hAnsi="Times New Roman;Times;serif"/>
          <w:sz w:val="20"/>
        </w:rPr>
        <w:t>”) and the data processing activities of a “network platform operator” that affect or may affect national security shall be subject to the cybersecurity review.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Where the purchase of network products and services by a CIIO affects or may affect national security, the CIIO shall notify the Cybersecurity Review Office, which is under the CAC, and a cybersecurity review shall be conducted pursuant to the Cybersecurity Review Measures. Furthermore, if a “network platform operator” that possesses personal information of more than one million users and seeks a listing in a foreign country must apply for a cybersecurity review with the Cybersecurity Review Office. According to the final Cybersecurity Review Measures, the term “network products and services” mainly refers to core network equipment, high performance computers and servers, large-capacity storage devices, large-capacity databases and application software, network security equipment, cloud computing services, and other network products and services that have a significant impact on critical information infrastructure security, cybersecurity and data security. Under the Cybersecurity Law, where CIIOs use network products or services that have neither been reviewed for security, nor passed the cybersecurity review, they shall be ordered by the relevant competent departments to stop using such products or services, and a fine of no less than one, but no more than ten times the purchase amount shall be imposed. As for the persons in charge directly or otherwise are directly responsible, a fine of no less than RMB 10,000 but no more than RMB 100,000 shall be imposed. As of the date of this annual report, we have not received any notice from the CAC which identifies us as a CIIO under the Cybersecurity Review Measures.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Employee Share Option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Notice of Issues Related to the Foreign Exchange Administration for Domestic Individuals Participating in Stock Incentive Plan of Overseas Listed Company, or SAFE Circular 7, issued by the SAFE in February 2012, employees, directors, supervisors, and other senior management participating in any share incentive plan of an overseas publicly-listed company who are PRC citizens or non-PRC citizens residing in China for a continuous period of not less than one year, subject to a few exceptions, are required to register with SAFE through a domestic qualified agent, which may be a PRC subsidiary of such overseas listed company, and complete certain other procedures. See “Item 4. Information on The Company—4.B. Business Overview—Regulation—Regulations on Foreign Currency Exchange.”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SAT has issued certain circulars concerning employee share options and restricted shares. Under these circulars, employees working in the PRC who exercise share options or are granted restricted shares will be subject to PRC individual income tax. The PRC subsidiaries of an overseas listed company are obligated to file documents related to employee share options and restricted shares with relevant tax authorities and to withhold individual income taxes of employees who exercise their share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Employment and Social Insurance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Labor Contract Law promulgated by SCNPC in 2007 and amended in December 2012, and its implementation rules issued by the State Council in 2008, require employers to provide written contracts to their employees, restrict the use of temporary workers and aim to give employees long-term job security. Violations of the PRC Labor Law and the PRC Labor Contract Law may result in fines and other administrative sanctions, and serious violations may result in criminal liabilities.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governmental authorities have passed a variety of laws and regulations regarding social insurance and housing funds from time to time, including, among others, the PRC Social Insurance Law, the Regulation of Insurance for Labor Injury, the Regulations of Insurance for Unemployment and the Provisional Insurance Measures for Maternal Employees. Pursuant to these laws and regulations, PRC companies must make contributions at specified levels for their employees to the relevant local social insurance and housing fund authorities. Failure to comply with such laws and regulations may result in various fines and legal sanctions and supplemental contributions to the local social insurance and housing fund regulatory authorities.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Advertising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Advertising Law of the PRC, or Advertising Law, which was promulgated by SCNP on October 27, 1994 and amended on September 1, 2015, October 26, 2018 and April 29, 2021, advertisements shall not contain any false or misleading information, and shall not deceive or mislead consumers. Advertisers, advertising agents and advertisement publishers shall abide by the laws, regulations and the principles of justice, honesty and fair competition in carrying out advertising activities. Local administrative departments for industry and commerce at and above the county level shall take charge of the supervision and administration on advertising within their respective administrative jurisdictions. Other relevant departments of the local people’s governments at and above the county level shall take charge of the advertising management-related work within their respective scope of duties. According to the Advertising Law, the use of internet to publish or distribute advertisements shall not affect the normal use of the internet by users. Advertisements published on internet pages such as pop-up advertisements shall be conspicuously marked with a closing sign to ensure one-click closure.</w:t>
      </w:r>
    </w:p>
    <w:p>
      <w:pPr>
        <w:pStyle w:val="TextBody"/>
        <w:pBdr/>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Regulations on Internet Platform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Telecommunications Regulations of the PRC issued by the State Council on September 25, 2000 and was amended on July 29, 2014 and February 6, 2016, respectively, value-added telecommunications services are defined as telecommunications and information services provided through public network infrastructures and are subject to licenses prior to commencement of operations, and according to the Catalogue of Telecommunications Business (2015 Edition) attached to the Telecommunications Regulations of the PRC, value-added telecommunications services are divided into two categories, class I value-added telecommunication services and class II value-added telecommunication services. On July 3, 2017, the MIIT issued the revised Administrative Measures for the Licensing of Telecommunications Business, or the Telecom License Measures, which became effective on September 1, 2017, to supplement the Telecom Regulations. The Telecom License Measures require that an operator of value-added telecommunications services obtain a VATs License from the MIIT or its provincial level counterparts. The term of a VATs License is five years and the license holder is subject to annual inspection.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 e-commerce operator shall obtain a license for value-added telecommunications services with the specification of online data processing and transaction processing business from appropriate telecommunications authorities, pursuant to the Telecommunications Regulations and the Catalog of Telecommunications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7, 2021, the Anti-monopoly Commission of the State Council promulgated Guidelines to Anti-Monopoly in the Field of Platform Economy, or the Anti-Monopoly Guidelines for Platform Economy. The Anti-Monopoly Guidelines for Platform Economy provides operational standards and guidelines for identifying certain internet platforms’ abuse of market dominant position which are prohibited to restrict unfair competition and safeguard users’ interests, including without limitation, prohibiting personalized pricing using big data and analytics, selling products below cost without reasonable causes, actions or arrangements seen as exclusivity arrangements, using technology means to block competitors’ interface, using bundle services to sell services or products. In addition, internet platforms’ compulsory collection of user data may be viewed as abuse of dominant market position that may have the effect to eliminate or restrict competition.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31, 2018, the Standing Committee of the National People’s Congress promulgated the E-commerce Law, which came into effect on January 1, 2019. The E-commerce Law imposes a series of requirements on e-commerce operators including e-commerce platform operators, merchants operating on the platform and the individuals and entities carrying out business online.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the Measures for the Investigation and Treatment of Internet Food Safety Violations promulgated by China Food and Drug Administration on July 13, 2016, which became effective on October 1, 2016 and was amended by SAMR on June 1, 2021, SAMR is responsible for supervising and guiding the investigation and treatment of Internet food safety violations nationwide, and local market regulatory departments at or above the county level are responsible for their administrative areas Internal network food safety violations investigation. Food producers and distributors who engage in food trade on their own network platform should also file with the market regulatory departments at or above the county level to get the record number.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747" w:type="dxa"/>
        <w:jc w:val="left"/>
        <w:tblInd w:w="0" w:type="dxa"/>
        <w:tblCellMar>
          <w:top w:w="0" w:type="dxa"/>
          <w:left w:w="0" w:type="dxa"/>
          <w:bottom w:w="0" w:type="dxa"/>
          <w:right w:w="0" w:type="dxa"/>
        </w:tblCellMar>
      </w:tblPr>
      <w:tblGrid>
        <w:gridCol w:w="451"/>
        <w:gridCol w:w="229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4.C.</w:t>
            </w:r>
          </w:p>
        </w:tc>
        <w:tc>
          <w:tcPr>
            <w:tcW w:w="229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Organizational Structure</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chart illustrates our corporate structure, including our significant subsidiaries as that term is defined under Section 1-02 of Regulation S-X under the Securities Act and certain other subsidiaries, as of the date of this annual report.</w:t>
      </w:r>
    </w:p>
    <w:p>
      <w:pPr>
        <w:pStyle w:val="TextBody"/>
        <w:spacing w:before="0" w:after="0"/>
        <w:ind w:left="0" w:right="0" w:hanging="0"/>
        <w:jc w:val="center"/>
        <w:rPr/>
      </w:pPr>
      <w:r>
        <w:rPr/>
        <w:drawing>
          <wp:inline distT="0" distB="0" distL="0" distR="0">
            <wp:extent cx="5131435" cy="3187700"/>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5131435" cy="3187700"/>
                    </a:xfrm>
                    <a:prstGeom prst="rect">
                      <a:avLst/>
                    </a:prstGeom>
                  </pic:spPr>
                </pic:pic>
              </a:graphicData>
            </a:graphic>
          </wp:inline>
        </w:drawing>
      </w:r>
    </w:p>
    <w:p>
      <w:pPr>
        <w:pStyle w:val="TextBody"/>
        <w:spacing w:before="0" w:after="0"/>
        <w:ind w:left="0" w:right="0" w:hanging="0"/>
        <w:jc w:val="both"/>
        <w:rPr>
          <w:rFonts w:ascii="Times New Roman;Times;serif" w:hAnsi="Times New Roman;Times;serif"/>
          <w:sz w:val="17"/>
        </w:rPr>
      </w:pPr>
      <w:r>
        <w:rPr>
          <w:rFonts w:ascii="Times New Roman;Times;serif" w:hAnsi="Times New Roman;Times;serif"/>
          <w:sz w:val="17"/>
        </w:rPr>
        <w:t>Note:</w:t>
      </w:r>
    </w:p>
    <w:p>
      <w:pPr>
        <w:pStyle w:val="TextBody"/>
        <w:spacing w:before="0" w:after="240"/>
        <w:ind w:left="0" w:right="0" w:firstLine="360"/>
        <w:jc w:val="both"/>
        <w:rPr>
          <w:rFonts w:ascii="Times New Roman;Times;serif" w:hAnsi="Times New Roman;Times;serif"/>
          <w:sz w:val="18"/>
        </w:rPr>
      </w:pPr>
      <w:r>
        <w:rPr>
          <w:rFonts w:ascii="Times New Roman;Times;serif" w:hAnsi="Times New Roman;Times;serif"/>
          <w:sz w:val="18"/>
        </w:rPr>
        <w:t>(1) As of March 30, 2023, (i) Mr. Haijun Wang, our founder, Chairman of Board of Directors and Chief Executive Officer, beneficially owns 30.0% of our total issued and outstanding ordinary shares and 73.9% of aggregate voting power; and (ii) the other existing shareholders, in aggregate, beneficially own 70.0% of our total issued and outstanding ordinary shares and 26.1% of the aggregate voting power. For details regarding the voting arrangement between Mr. Wang Haijun and certain minority shareholders, see “Item 7. Major Shareholders and Related Party Transactions—7.A. Major Shareholders”.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Transfer of Funds and Other Assets through Our Organization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with no business operations of our own. We conduct all of our operations through our subsidiaries in China, in particular, Shanghai Atour Business Management Group Co., Ltd., or Atour Shanghai, and its subsidiaries, and a substantial portion of our assets are located in China. As a result, our ability to pay dividends and to service any debt we may incur overseas largely depends upon dividends paid by our subsidiaries. If our subsidiaries incur debt on their own behalf in the future, the instruments governing their debt may restrict their ability to pay dividends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our subsidiaries in China are permitted to pay dividends to us only out of their retained earnings, if any, as determined in accordance with the Accounting Standards for Business Enterprise as promulgated by the Ministry of Finance of the PRC, or the PRC GAAP. The aggregate retained earnings for our PRC subsidiaries as determined under the Accounting Standards for Business Enterprise were RMB387.4 million and RMB411.2 million (US$ 59.6 million) as of December 31, 2021 and 2022, respectively. Pursuant to the laws and regulations applicable to China’s foreign investment enterprises, our subsidiaries that are foreign investment enterprises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the PRC GAAP. Appropriation is not required if the reserve fund has reached 50% of the registered capital of our subsidiaries. Appropriation to the other two reserve funds are at our subsidiaries’ discretion. Our PRC subsidiaries did not make any contributions to the enterprise expansion fund or the staff and bonus welfare fund from 2020 to 2022. The restricted amounts of our PRC subsidiaries totaled RMB74.6 million and RMB83.9 million (US$12.2 million) as of December 31, 2021 and 2022, respectively. See “Item 4.Information on The Company—4.B. Business Overview—Regulation—Regulations on Dividend Distribution” for a detailed discussion of the PRC legal restrictions on dividends and our ability to transfer cash within our group. In addition, ADS holders may potentially be subject to PRC taxes on dividends paid by us in the event Atour Lifestyle Holdings Limited is deemed as a PRC resident enterprise for PRC tax purposes. See “Item 5. Operating and Financial Review and Prospects—5.A. Operating Results—Taxation—PRC” for more details.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Except in connection with our corporate restructuring prior to our initial public offering, one of our PRC subsidiaries have issued any dividends or distributions to respective holding companies, including Atour Lifestyle Holdings Limited, or any investors as of the date of this annual report. Our subsidiaries in the PRC generate and retain cash generated from operating activities and re-invest it in our business. In May 2021, our Hong Kong subsidiary, Atour Hotel (HK) Holdings Limited, distributed RMB20.6 million to certain shareholders. Historically, Atour Shanghai has also received equity financing from its shareholders to fund business operations of our PRC subsidiaries. In 2020, 2021 and 2022, we did not transfer any cash proceeds to any of our PRC subsidiaries except for the cash transfers within our Group in connection with our restructuring in 2021 for our initial public offering. In the future, cash proceeds raised from overseas financing activities, may be transferred by us through our Hong Kong subsidiary, Atour Hotel (HK) Holdings Limited to our PRC subsidiary Atour Shanghai via capital contribution and shareholder loans, as the case may be. Atour Shanghai then will transfer funds to its subsidiaries to meet the capital needs of our business operations.</w:t>
      </w:r>
    </w:p>
    <w:tbl>
      <w:tblPr>
        <w:tblW w:w="3317" w:type="dxa"/>
        <w:jc w:val="left"/>
        <w:tblInd w:w="0" w:type="dxa"/>
        <w:tblCellMar>
          <w:top w:w="0" w:type="dxa"/>
          <w:left w:w="0" w:type="dxa"/>
          <w:bottom w:w="0" w:type="dxa"/>
          <w:right w:w="0" w:type="dxa"/>
        </w:tblCellMar>
      </w:tblPr>
      <w:tblGrid>
        <w:gridCol w:w="451"/>
        <w:gridCol w:w="286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4.D.</w:t>
            </w:r>
          </w:p>
        </w:tc>
        <w:tc>
          <w:tcPr>
            <w:tcW w:w="286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Property, Plants and Equipment</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executive offices are located in Shanghai, China and occupy nearly 6,132 square meters of office space, all of which is leased by us. As of December 31, 2022, we had leased a total of 41 properties for commercial uses, with 32 properties used for the operations of our 33 leased hotels and 9 properties for other commercial uses, such as our headquarters and office premises. The gross floor area of our leased properties for commercial uses range from approximately 538 square meters to 26,328 square meters. All our leased properties are located in the PRC, and we do not own any real property. We believe that our current facilities are adequate to meet our current needs.</w:t>
      </w:r>
    </w:p>
    <w:p>
      <w:pPr>
        <w:pStyle w:val="TextBody"/>
        <w:spacing w:before="0" w:after="240"/>
        <w:ind w:left="0" w:right="0" w:hanging="0"/>
        <w:jc w:val="left"/>
        <w:rPr>
          <w:rFonts w:ascii="Times New Roman;Times;serif" w:hAnsi="Times New Roman;Times;serif"/>
          <w:sz w:val="20"/>
        </w:rPr>
      </w:pPr>
      <w:bookmarkStart w:id="32" w:name="ITEM4AUNRESOLVEDSTAFFCOMMENTS_438635"/>
      <w:bookmarkStart w:id="33" w:name="_4d99cd35_f346_48fa_8489_3afa59e546eb"/>
      <w:bookmarkEnd w:id="32"/>
      <w:bookmarkEnd w:id="33"/>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jc w:val="left"/>
        <w:rPr>
          <w:rFonts w:ascii="Times New Roman;Times;serif" w:hAnsi="Times New Roman;Times;serif"/>
          <w:sz w:val="20"/>
        </w:rPr>
      </w:pPr>
      <w:bookmarkStart w:id="34" w:name="ITEM5OPERATINGANDFINANCIALREVIEWANDPROSP"/>
      <w:bookmarkStart w:id="35" w:name="_020567c8_402c_4028_8a8c_1d7fa9b00f28"/>
      <w:bookmarkEnd w:id="34"/>
      <w:bookmarkEnd w:id="35"/>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 Key Information</w:t>
      </w:r>
      <w:r>
        <w:rPr>
          <w:rFonts w:ascii="Times New Roman;Times;serif" w:hAnsi="Times New Roman;Times;serif"/>
          <w:sz w:val="20"/>
        </w:rPr>
        <w:t>—</w:t>
      </w:r>
      <w:r>
        <w:rPr>
          <w:rFonts w:ascii="Times New Roman;Times;serif" w:hAnsi="Times New Roman;Times;serif"/>
          <w:i/>
          <w:sz w:val="20"/>
        </w:rPr>
        <w:t>Item 3.D. Risk Factors” and elsewhere in this annual report.</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includes discussion of certain of our key performance metrics for the periods indicated. See Introduction in this annual report for the definition of these metrics and a description of how they are calculated.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117" w:type="dxa"/>
        <w:jc w:val="left"/>
        <w:tblInd w:w="0" w:type="dxa"/>
        <w:tblCellMar>
          <w:top w:w="0" w:type="dxa"/>
          <w:left w:w="0" w:type="dxa"/>
          <w:bottom w:w="0" w:type="dxa"/>
          <w:right w:w="0" w:type="dxa"/>
        </w:tblCellMar>
      </w:tblPr>
      <w:tblGrid>
        <w:gridCol w:w="451"/>
        <w:gridCol w:w="166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5.A.</w:t>
            </w:r>
          </w:p>
        </w:tc>
        <w:tc>
          <w:tcPr>
            <w:tcW w:w="166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Operating Results</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Factors Affecting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results of operations are subject to general economic conditions and conditions affecting the hospitality industry in general, which include, among others: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Changes in the national, regional or local economic conditions in China.</w:t>
      </w:r>
      <w:r>
        <w:rPr>
          <w:rFonts w:ascii="Times New Roman;Times;serif" w:hAnsi="Times New Roman;Times;serif"/>
          <w:sz w:val="20"/>
        </w:rPr>
        <w:t>   Our financial performance, particularly our ability to drive growth, depends upon the demand for our hotel offerings, which is closely linked to the general economy and is sensitive to business and individual discretionary spending levels in China. While the hospitality industry in China has been benefitting from the significant growth experienced by the PRC economy in recent years, the COVID-19 pandemic has negatively affected our industry. Despite the substantial improvements in social and economic conditions in China since late 2022, there remain uncertainties regarding the general economic conditions and demand for our hotel offerings. Our costs and expenses may also be affected by China’s inflation level. Other macro-economic factors beyond our control may also affect our results of operations. For example, any prolonged recurrence of other contagious diseases, social instability or significant natural disasters may have a negative impact on the demand for our hotel offerings.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PRC government policies and regulations.</w:t>
      </w:r>
      <w:r>
        <w:rPr>
          <w:rFonts w:ascii="Times New Roman;Times;serif" w:hAnsi="Times New Roman;Times;serif"/>
          <w:sz w:val="20"/>
        </w:rPr>
        <w:t>   Our business is subject to various compliance and operational requirements under PRC laws. In particular, each of our hotels is required to comply with license requirements and laws and regulations with respect to hospitality industry, internet platform, construction, building, zoning, environmental protection, food safety, public safety, health and sanitary requirements. Any changes to the existing laws and regulations in the future may increase our compliance efforts at significant cost. See “Item 3. Key Information—3.D. Risk Factors—Risks Related to Our Business and Industry—We are subject to various hospitality industry, health and safety, construction, fire prevention and environmental laws and regulations that may subject us to liability.”</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Industry competition.</w:t>
      </w:r>
      <w:r>
        <w:rPr>
          <w:rFonts w:ascii="Times New Roman;Times;serif" w:hAnsi="Times New Roman;Times;serif"/>
          <w:sz w:val="20"/>
        </w:rPr>
        <w:t>   The hospitality industry in China is highly competitive. We compete primarily with both domestic and international branded hotel chains and independent hotels. Competition in the hospitality industry is generally focused on hotel room rates, quality of accommodations, brand recognitions, convenience of locations, geographic coverages, quality and range of services, other lifestyle offerings and guest amenities.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Seasonality.</w:t>
      </w:r>
      <w:r>
        <w:rPr>
          <w:rFonts w:ascii="Times New Roman;Times;serif" w:hAnsi="Times New Roman;Times;serif"/>
          <w:sz w:val="20"/>
        </w:rPr>
        <w:t>   The hospitality industry is subject to fluctuations in revenues due to seasonality. The periods during which our properties experience higher revenues vary from property to property, depending principally upon their locations, types of property and competitive mix within the specific locations. Generally, the first quarter, in which both the New Year and Spring Festival holidays fall, accounts for a lower percentage of our annual revenues than the other quarters of the year. In addition, certain special events, such as large-scale exhibitions, concerts or sports events, may increase the demand for our hotels significantly as such special events may attract travelers into and within the regions in China where we operate hotels. Based on historical results, we generally expect our hotel revenues for each hotel to be higher in the remaining three quarters of each year than in each of the first quarter due to general travel and consumption patterns in China.</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Specific Factors Affecting Our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While our business is affected by factors relating to general economic conditions and the hospitality industry in China, we believe that our results of operations are also affected by company-specific factors, including, among others: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The total number of hotels and hotel rooms in our hotel network.</w:t>
      </w:r>
      <w:r>
        <w:rPr>
          <w:rFonts w:ascii="Times New Roman;Times;serif" w:hAnsi="Times New Roman;Times;serif"/>
          <w:sz w:val="20"/>
        </w:rPr>
        <w:t>   Our revenues largely depend on the size of our hotel network. Furthermore, we believe the expanded geographic coverage of our hotel network will enhance our brand recognition. We mainly adopt a “manachise” model to operate the vast majority of the hotels in our hotel network. As a result, whether we can successfully increase the number of hotels and hotel rooms in our hotel chain is largely affected by our ability to franchise additional hotel properties at desirable locations on commercially favorable terms and to maintain the quality of service at our hotels and the value of our brand.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The fixed-cost nature of our business.</w:t>
      </w:r>
      <w:r>
        <w:rPr>
          <w:rFonts w:ascii="Times New Roman;Times;serif" w:hAnsi="Times New Roman;Times;serif"/>
          <w:sz w:val="20"/>
        </w:rPr>
        <w:t>   A significant portion of our operating costs and expenses, including rent and base salary, is relatively fixed. As a result, an increase in our revenues achieved through higher RevPAR generally will result in higher profitability. Vice versa, a decrease in our revenues could result in a disproportionately larger decrease in our profits because our operating costs and expenses are unlikely to decrease proportionately.</w:t>
      </w:r>
    </w:p>
    <w:p>
      <w:pPr>
        <w:pStyle w:val="TextBody"/>
        <w:spacing w:before="0" w:after="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The proportion of mature hotels in our hotel portfolio.</w:t>
      </w:r>
      <w:r>
        <w:rPr>
          <w:rFonts w:ascii="Times New Roman;Times;serif" w:hAnsi="Times New Roman;Times;serif"/>
          <w:sz w:val="20"/>
        </w:rPr>
        <w:t>   The operation of each hotel typically involves three stages: development, ramp-up and mature operations. We define mature hotels as those that have been in operation for more than six months. It typically takes six months for our newly opened hotels to ramp up before such hotels can generate normal and stable revenues. During the ramp-up stage, when the occupancy rate is relatively low, revenues generated from these new hotels may be insufficient to cover their operating costs. The pre-opening expenses incurred during the development stage of our leased hotels, the lower franchise management fees generated by our manachised hotels during the ramp-up stage and the lower profitability during the ramp-up stage for our hotels may have a significant negative impact on our overall financial performance. The table below illustrates the number of our hotels in development stage, ramp-up stage and mature operation stage as of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662"/>
        <w:gridCol w:w="326"/>
        <w:gridCol w:w="721"/>
        <w:gridCol w:w="326"/>
        <w:gridCol w:w="1411"/>
        <w:gridCol w:w="361"/>
        <w:gridCol w:w="886"/>
        <w:gridCol w:w="326"/>
        <w:gridCol w:w="1231"/>
        <w:gridCol w:w="361"/>
        <w:gridCol w:w="721"/>
        <w:gridCol w:w="326"/>
        <w:gridCol w:w="1231"/>
        <w:gridCol w:w="316"/>
      </w:tblGrid>
      <w:tr>
        <w:trPr/>
        <w:tc>
          <w:tcPr>
            <w:tcW w:w="16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55370" cy="175260"/>
                      <wp:effectExtent l="0" t="0" r="0" b="0"/>
                      <wp:wrapNone/>
                      <wp:docPr id="51" name="Frame43"/>
                      <a:graphic xmlns:a="http://schemas.openxmlformats.org/drawingml/2006/main">
                        <a:graphicData uri="http://schemas.microsoft.com/office/word/2010/wordprocessingShape">
                          <wps:wsp>
                            <wps:cNvSpPr txBox="1"/>
                            <wps:spPr>
                              <a:xfrm>
                                <a:off x="0" y="0"/>
                                <a:ext cx="1055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57835" cy="175260"/>
                      <wp:effectExtent l="0" t="0" r="0" b="0"/>
                      <wp:wrapNone/>
                      <wp:docPr id="53" name="Frame4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895985" cy="175260"/>
                      <wp:effectExtent l="0" t="0" r="0" b="0"/>
                      <wp:wrapNone/>
                      <wp:docPr id="55" name="Frame47"/>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9235" cy="175260"/>
                      <wp:effectExtent l="0" t="0" r="0" b="0"/>
                      <wp:wrapNone/>
                      <wp:docPr id="56" name="Frame4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2610" cy="175260"/>
                      <wp:effectExtent l="0" t="0" r="0" b="0"/>
                      <wp:wrapNone/>
                      <wp:docPr id="57" name="Frame4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81685" cy="175260"/>
                      <wp:effectExtent l="0" t="0" r="0" b="0"/>
                      <wp:wrapNone/>
                      <wp:docPr id="59" name="Frame51"/>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9235" cy="175260"/>
                      <wp:effectExtent l="0" t="0" r="0" b="0"/>
                      <wp:wrapNone/>
                      <wp:docPr id="60" name="Frame5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7835" cy="175260"/>
                      <wp:effectExtent l="0" t="0" r="0" b="0"/>
                      <wp:wrapNone/>
                      <wp:docPr id="61" name="Frame53"/>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81685" cy="175260"/>
                      <wp:effectExtent l="0" t="0" r="0" b="0"/>
                      <wp:wrapNone/>
                      <wp:docPr id="63" name="Frame55"/>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0660" cy="175260"/>
                      <wp:effectExtent l="0" t="0" r="0" b="0"/>
                      <wp:wrapNone/>
                      <wp:docPr id="64" name="Frame5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shd w:fill="auto" w:val="clear"/>
            <w:vAlign w:val="center"/>
          </w:tcPr>
          <w:p>
            <w:pPr>
              <w:pStyle w:val="TableContents"/>
              <w:spacing w:before="0" w:after="0"/>
              <w:ind w:left="0" w:right="0" w:hanging="0"/>
              <w:jc w:val="center"/>
              <w:rPr/>
            </w:pPr>
            <w:r>
              <w:rPr/>
              <w:t>​</w:t>
            </w:r>
          </w:p>
        </w:tc>
        <w:tc>
          <w:tcPr>
            <w:tcW w:w="244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shd w:fill="auto" w:val="clear"/>
            <w:vAlign w:val="center"/>
          </w:tcPr>
          <w:p>
            <w:pPr>
              <w:pStyle w:val="TableContents"/>
              <w:spacing w:before="0" w:after="0"/>
              <w:ind w:left="0" w:right="0" w:hanging="0"/>
              <w:jc w:val="center"/>
              <w:rPr/>
            </w:pPr>
            <w:r>
              <w:rPr/>
              <w:t>​</w:t>
            </w:r>
          </w:p>
        </w:tc>
        <w:tc>
          <w:tcPr>
            <w:tcW w:w="227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shd w:fill="auto" w:val="clear"/>
            <w:vAlign w:val="center"/>
          </w:tcPr>
          <w:p>
            <w:pPr>
              <w:pStyle w:val="TableContents"/>
              <w:spacing w:before="0" w:after="0"/>
              <w:ind w:left="0" w:right="0" w:hanging="0"/>
              <w:jc w:val="center"/>
              <w:rPr/>
            </w:pPr>
            <w:r>
              <w:rPr/>
              <w:t> </w:t>
            </w:r>
          </w:p>
        </w:tc>
      </w:tr>
      <w:tr>
        <w:trPr/>
        <w:tc>
          <w:tcPr>
            <w:tcW w:w="1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8" w:type="dxa"/>
            <w:gridSpan w:val="3"/>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December 31, 2020</w:t>
            </w:r>
            <w:r>
              <w:rPr>
                <w:rFonts w:ascii="Times New Roman;Times;serif" w:hAnsi="Times New Roman;Times;serif"/>
                <w:b/>
                <w:sz w:val="12"/>
              </w:rPr>
              <w:t>(1)</w:t>
            </w:r>
          </w:p>
        </w:tc>
        <w:tc>
          <w:tcPr>
            <w:tcW w:w="361" w:type="dxa"/>
            <w:tcBorders/>
            <w:shd w:fill="auto" w:val="clear"/>
            <w:vAlign w:val="center"/>
          </w:tcPr>
          <w:p>
            <w:pPr>
              <w:pStyle w:val="TableContents"/>
              <w:spacing w:before="0" w:after="0"/>
              <w:ind w:left="0" w:right="0" w:hanging="0"/>
              <w:jc w:val="center"/>
              <w:rPr/>
            </w:pPr>
            <w:r>
              <w:rPr/>
              <w:t>​</w:t>
            </w:r>
          </w:p>
        </w:tc>
        <w:tc>
          <w:tcPr>
            <w:tcW w:w="2443" w:type="dxa"/>
            <w:gridSpan w:val="3"/>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December 31, 2021</w:t>
            </w:r>
            <w:r>
              <w:rPr>
                <w:rFonts w:ascii="Times New Roman;Times;serif" w:hAnsi="Times New Roman;Times;serif"/>
                <w:b/>
                <w:sz w:val="12"/>
              </w:rPr>
              <w:t>(1)</w:t>
            </w:r>
          </w:p>
        </w:tc>
        <w:tc>
          <w:tcPr>
            <w:tcW w:w="361" w:type="dxa"/>
            <w:tcBorders/>
            <w:shd w:fill="auto" w:val="clear"/>
            <w:vAlign w:val="center"/>
          </w:tcPr>
          <w:p>
            <w:pPr>
              <w:pStyle w:val="TableContents"/>
              <w:spacing w:before="0" w:after="0"/>
              <w:ind w:left="0" w:right="0" w:hanging="0"/>
              <w:jc w:val="center"/>
              <w:rPr/>
            </w:pPr>
            <w:r>
              <w:rPr/>
              <w:t>​</w:t>
            </w:r>
          </w:p>
        </w:tc>
        <w:tc>
          <w:tcPr>
            <w:tcW w:w="2278" w:type="dxa"/>
            <w:gridSpan w:val="3"/>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December 31, 2022</w:t>
            </w:r>
            <w:r>
              <w:rPr>
                <w:rFonts w:ascii="Times New Roman;Times;serif" w:hAnsi="Times New Roman;Times;serif"/>
                <w:b/>
                <w:sz w:val="12"/>
              </w:rPr>
              <w:t>(1)</w:t>
            </w:r>
          </w:p>
        </w:tc>
        <w:tc>
          <w:tcPr>
            <w:tcW w:w="316" w:type="dxa"/>
            <w:tcBorders/>
            <w:shd w:fill="auto" w:val="clear"/>
            <w:vAlign w:val="center"/>
          </w:tcPr>
          <w:p>
            <w:pPr>
              <w:pStyle w:val="TableContents"/>
              <w:spacing w:before="0" w:after="0"/>
              <w:ind w:left="0" w:right="0" w:hanging="0"/>
              <w:jc w:val="center"/>
              <w:rPr/>
            </w:pPr>
            <w:r>
              <w:rPr/>
              <w:t> </w:t>
            </w:r>
          </w:p>
        </w:tc>
      </w:tr>
      <w:tr>
        <w:trPr/>
        <w:tc>
          <w:tcPr>
            <w:tcW w:w="1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61"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c>
          <w:tcPr>
            <w:tcW w:w="316" w:type="dxa"/>
            <w:tcBorders/>
            <w:shd w:fill="auto" w:val="clear"/>
            <w:vAlign w:val="center"/>
          </w:tcPr>
          <w:p>
            <w:pPr>
              <w:pStyle w:val="TableContents"/>
              <w:spacing w:before="0" w:after="0"/>
              <w:ind w:left="0" w:right="0" w:hanging="0"/>
              <w:jc w:val="center"/>
              <w:rPr/>
            </w:pPr>
            <w:r>
              <w:rPr/>
              <w:t> </w:t>
            </w:r>
          </w:p>
        </w:tc>
      </w:tr>
      <w:tr>
        <w:trPr/>
        <w:tc>
          <w:tcPr>
            <w:tcW w:w="1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0"/>
              <w:ind w:left="0" w:right="0" w:hanging="0"/>
              <w:jc w:val="center"/>
              <w:rPr/>
            </w:pPr>
            <w:r>
              <w:rPr/>
              <w:t>​</w:t>
            </w:r>
          </w:p>
        </w:tc>
        <w:tc>
          <w:tcPr>
            <w:tcW w:w="14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hotels</w:t>
            </w:r>
          </w:p>
        </w:tc>
        <w:tc>
          <w:tcPr>
            <w:tcW w:w="361"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hotels in</w:t>
            </w:r>
          </w:p>
        </w:tc>
        <w:tc>
          <w:tcPr>
            <w:tcW w:w="361"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0"/>
              <w:ind w:left="0" w:right="0" w:hanging="0"/>
              <w:jc w:val="center"/>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hotels in</w:t>
            </w:r>
          </w:p>
        </w:tc>
        <w:tc>
          <w:tcPr>
            <w:tcW w:w="316" w:type="dxa"/>
            <w:tcBorders/>
            <w:shd w:fill="auto" w:val="clear"/>
            <w:vAlign w:val="center"/>
          </w:tcPr>
          <w:p>
            <w:pPr>
              <w:pStyle w:val="TableContents"/>
              <w:spacing w:before="0" w:after="0"/>
              <w:ind w:left="0" w:right="0" w:hanging="0"/>
              <w:jc w:val="center"/>
              <w:rPr/>
            </w:pPr>
            <w:r>
              <w:rPr/>
              <w:t> </w:t>
            </w:r>
          </w:p>
        </w:tc>
      </w:tr>
      <w:tr>
        <w:trPr/>
        <w:tc>
          <w:tcPr>
            <w:tcW w:w="1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hotels</w:t>
            </w:r>
          </w:p>
        </w:tc>
        <w:tc>
          <w:tcPr>
            <w:tcW w:w="326" w:type="dxa"/>
            <w:tcBorders/>
            <w:shd w:fill="auto" w:val="clear"/>
            <w:vAlign w:val="center"/>
          </w:tcPr>
          <w:p>
            <w:pPr>
              <w:pStyle w:val="TableContents"/>
              <w:spacing w:before="0" w:after="0"/>
              <w:ind w:left="0" w:right="0" w:hanging="0"/>
              <w:jc w:val="center"/>
              <w:rPr/>
            </w:pPr>
            <w:r>
              <w:rPr/>
              <w:t>​</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the three stages</w:t>
            </w:r>
          </w:p>
        </w:tc>
        <w:tc>
          <w:tcPr>
            <w:tcW w:w="361"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hotels</w:t>
            </w:r>
          </w:p>
        </w:tc>
        <w:tc>
          <w:tcPr>
            <w:tcW w:w="326" w:type="dxa"/>
            <w:tcBorders/>
            <w:shd w:fill="auto" w:val="clear"/>
            <w:vAlign w:val="center"/>
          </w:tcPr>
          <w:p>
            <w:pPr>
              <w:pStyle w:val="TableContents"/>
              <w:spacing w:before="0" w:after="0"/>
              <w:ind w:left="0" w:right="0" w:hanging="0"/>
              <w:jc w:val="center"/>
              <w:rPr/>
            </w:pPr>
            <w:r>
              <w:rPr/>
              <w:t>​</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 three stages</w:t>
            </w:r>
          </w:p>
        </w:tc>
        <w:tc>
          <w:tcPr>
            <w:tcW w:w="361" w:type="dxa"/>
            <w:tcBorders/>
            <w:shd w:fill="auto" w:val="clear"/>
            <w:vAlign w:val="center"/>
          </w:tcPr>
          <w:p>
            <w:pPr>
              <w:pStyle w:val="TableContents"/>
              <w:spacing w:before="0" w:after="0"/>
              <w:ind w:left="0" w:right="0" w:hanging="0"/>
              <w:jc w:val="center"/>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 hotels</w:t>
            </w:r>
          </w:p>
        </w:tc>
        <w:tc>
          <w:tcPr>
            <w:tcW w:w="326" w:type="dxa"/>
            <w:tcBorders/>
            <w:shd w:fill="auto" w:val="clear"/>
            <w:vAlign w:val="center"/>
          </w:tcPr>
          <w:p>
            <w:pPr>
              <w:pStyle w:val="TableContents"/>
              <w:spacing w:before="0" w:after="0"/>
              <w:ind w:left="0" w:right="0" w:hanging="0"/>
              <w:jc w:val="center"/>
              <w:rPr/>
            </w:pPr>
            <w:r>
              <w:rPr/>
              <w:t>​</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 three stages</w:t>
            </w:r>
          </w:p>
        </w:tc>
        <w:tc>
          <w:tcPr>
            <w:tcW w:w="316" w:type="dxa"/>
            <w:tcBorders/>
            <w:shd w:fill="auto" w:val="clear"/>
            <w:vAlign w:val="center"/>
          </w:tcPr>
          <w:p>
            <w:pPr>
              <w:pStyle w:val="TableContents"/>
              <w:spacing w:before="0" w:after="0"/>
              <w:ind w:left="0" w:right="0" w:hanging="0"/>
              <w:jc w:val="center"/>
              <w:rPr/>
            </w:pPr>
            <w:r>
              <w:rPr/>
              <w:t> </w:t>
            </w:r>
          </w:p>
        </w:tc>
      </w:tr>
      <w:tr>
        <w:trPr/>
        <w:tc>
          <w:tcPr>
            <w:tcW w:w="166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Development stage</w:t>
            </w:r>
          </w:p>
        </w:tc>
        <w:tc>
          <w:tcPr>
            <w:tcW w:w="326" w:type="dxa"/>
            <w:tcBorders/>
            <w:shd w:fill="CCEEFF" w:val="clear"/>
            <w:vAlign w:val="center"/>
          </w:tcPr>
          <w:p>
            <w:pPr>
              <w:pStyle w:val="TableContents"/>
              <w:spacing w:before="0" w:after="0"/>
              <w:ind w:left="0" w:right="0" w:hanging="0"/>
              <w:rPr/>
            </w:pPr>
            <w:r>
              <w:rPr/>
              <w:t> </w:t>
            </w:r>
          </w:p>
        </w:tc>
        <w:tc>
          <w:tcPr>
            <w:tcW w:w="72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spacing w:before="0" w:after="0"/>
              <w:ind w:left="0" w:right="0" w:hanging="0"/>
              <w:rPr/>
            </w:pPr>
            <w:r>
              <w:rPr/>
              <w:t> </w:t>
            </w:r>
          </w:p>
        </w:tc>
        <w:tc>
          <w:tcPr>
            <w:tcW w:w="141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326" w:type="dxa"/>
            <w:tcBorders/>
            <w:shd w:fill="CCEEFF" w:val="clear"/>
            <w:vAlign w:val="center"/>
          </w:tcPr>
          <w:p>
            <w:pPr>
              <w:pStyle w:val="TableContents"/>
              <w:spacing w:before="0" w:after="0"/>
              <w:ind w:left="0" w:right="0" w:hanging="0"/>
              <w:rPr/>
            </w:pPr>
            <w:r>
              <w:rPr/>
              <w:t> </w:t>
            </w:r>
          </w:p>
        </w:tc>
        <w:tc>
          <w:tcPr>
            <w:tcW w:w="12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shd w:fill="CCEEFF" w:val="clear"/>
            <w:vAlign w:val="center"/>
          </w:tcPr>
          <w:p>
            <w:pPr>
              <w:pStyle w:val="TableContents"/>
              <w:spacing w:before="0" w:after="0"/>
              <w:ind w:left="0" w:right="0" w:hanging="0"/>
              <w:rPr/>
            </w:pPr>
            <w:r>
              <w:rPr/>
              <w:t> </w:t>
            </w:r>
          </w:p>
        </w:tc>
        <w:tc>
          <w:tcPr>
            <w:tcW w:w="12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6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Ramp-up stage</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6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Mature stage</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spacing w:before="0" w:after="0"/>
              <w:ind w:left="0" w:right="0" w:hanging="0"/>
              <w:rPr/>
            </w:pPr>
            <w:r>
              <w:rPr/>
              <w:t> </w:t>
            </w:r>
          </w:p>
        </w:tc>
        <w:tc>
          <w:tcPr>
            <w:tcW w:w="12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16"/>
        </w:rPr>
      </w:pPr>
      <w:r>
        <w:rPr>
          <w:rFonts w:ascii="Times New Roman;Times;serif" w:hAnsi="Times New Roman;Times;serif"/>
          <w:sz w:val="16"/>
        </w:rPr>
        <w:t>Note:</w:t>
      </w:r>
    </w:p>
    <w:p>
      <w:pPr>
        <w:pStyle w:val="TextBody"/>
        <w:spacing w:before="0" w:after="240"/>
        <w:ind w:left="0" w:right="0" w:hanging="0"/>
        <w:jc w:val="both"/>
        <w:rPr>
          <w:rFonts w:ascii="Times New Roman;Times;serif" w:hAnsi="Times New Roman;Times;serif"/>
          <w:sz w:val="16"/>
        </w:rPr>
      </w:pPr>
      <w:r>
        <w:rPr>
          <w:rFonts w:ascii="Times New Roman;Times;serif" w:hAnsi="Times New Roman;Times;serif"/>
          <w:sz w:val="16"/>
        </w:rPr>
        <w:t>(1) Includes 19, 42 and 53 hotels being requisitioned by the government for quarantine needs in response to the COVID-19 outbreak, which were not in operation as of December 31, 2020, 2021 and 2022, respectively.</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i/>
          <w:sz w:val="20"/>
        </w:rPr>
        <w:t>The growth of our A-Card members and their levels of engagement.</w:t>
      </w:r>
      <w:r>
        <w:rPr>
          <w:rFonts w:ascii="Times New Roman;Times;serif" w:hAnsi="Times New Roman;Times;serif"/>
          <w:sz w:val="20"/>
        </w:rPr>
        <w:t>   Our tier-based </w:t>
      </w:r>
      <w:r>
        <w:rPr>
          <w:rFonts w:ascii="Times New Roman;Times;serif" w:hAnsi="Times New Roman;Times;serif"/>
          <w:i/>
          <w:sz w:val="20"/>
        </w:rPr>
        <w:t>A-Card</w:t>
      </w:r>
      <w:r>
        <w:rPr>
          <w:rFonts w:ascii="Times New Roman;Times;serif" w:hAnsi="Times New Roman;Times;serif"/>
          <w:sz w:val="20"/>
        </w:rPr>
        <w:t> loyalty program is a fully digitized membership program that unites all our hotel and lifestyle brands. We currently offer five tiers of membership from welcome level to infinite level, each corresponding to a different class of member benefits, privileges and rewards. Joining welcome level is completely free, and it takes six room-nights or 2,800 </w:t>
      </w:r>
      <w:r>
        <w:rPr>
          <w:rFonts w:ascii="Times New Roman;Times;serif" w:hAnsi="Times New Roman;Times;serif"/>
          <w:i/>
          <w:sz w:val="20"/>
        </w:rPr>
        <w:t>Jimu</w:t>
      </w:r>
      <w:r>
        <w:rPr>
          <w:rFonts w:ascii="Times New Roman;Times;serif" w:hAnsi="Times New Roman;Times;serif"/>
          <w:sz w:val="20"/>
        </w:rPr>
        <w:t> points to upgrade to the third tier — gold level. Alternatively, welcome-level guests can also pay RMB199 to upgrade to gold level directly and enjoy the corresponding rewards. Our </w:t>
      </w:r>
      <w:r>
        <w:rPr>
          <w:rFonts w:ascii="Times New Roman;Times;serif" w:hAnsi="Times New Roman;Times;serif"/>
          <w:i/>
          <w:sz w:val="20"/>
        </w:rPr>
        <w:t>A-Card</w:t>
      </w:r>
      <w:r>
        <w:rPr>
          <w:rFonts w:ascii="Times New Roman;Times;serif" w:hAnsi="Times New Roman;Times;serif"/>
          <w:sz w:val="20"/>
        </w:rPr>
        <w:t> members contribute to a significant portion of our revenue. Our member base has been growing rapidly. As of December 31, 2022, we had over 35 million registered individual members. If we are able to further grow the size of our member base and increase customer stickiness of our loyalty program, we will be able to further increase our revenue and reduce our customer acquisition expenses.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The growth and profitability of our scenario-based retail business.</w:t>
      </w:r>
      <w:r>
        <w:rPr>
          <w:rFonts w:ascii="Times New Roman;Times;serif" w:hAnsi="Times New Roman;Times;serif"/>
          <w:sz w:val="20"/>
        </w:rPr>
        <w:t>   In addition to hotel service offerings, we also operate an innovative scenario-based retail business embedded in our hotel rooms as well as through our e-stores. The growth and profitability of this retail business depends on the variety, attractiveness and pricing of our lifestyle products, as well as the development, procurement, sales, transportation and storage expenses.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Key Performance Indicators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customer demands and market conditions.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Non-Financial Key Performance Indicators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non-financial key performance indicators consist of the increase in total number of hotels and hotel rooms in our hotel chain and RevPAR achieved by our hotels.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Increase in total hotels and hotel rooms.</w:t>
      </w:r>
      <w:r>
        <w:rPr>
          <w:rFonts w:ascii="Times New Roman;Times;serif" w:hAnsi="Times New Roman;Times;serif"/>
          <w:sz w:val="20"/>
        </w:rPr>
        <w:t>   As we continue to scale our presence by leveraging our strong brand reputation, the total number of our hotels increased from 570 as of December 31, 2020 to 745 as of December 31, 2021, and further to 932 as of December 31, 2022. Similarly, the total number of our hotel rooms increased from 66,618 as of December 31, 2020 to 86,654 as of December 31, 2021, and further to 107,998 as of December 31, 2022. As of December 31, 2022, there were 932 hotels in our nationwide network, with a total of 107,998 hotel rooms. Due to the impacts of the COVID-19 pandemic, we had a certain number of hotels temporarily closed or requisitioned by the government authorities for quarantine purpose at various times in 2020, 2021 and 2022, substantially all of which were manachised hotels. As of December 31, 2022, we had a total of 363 manachised hotels with a total of 39,285 rooms under development.</w:t>
      </w:r>
    </w:p>
    <w:p>
      <w:pPr>
        <w:pStyle w:val="TextBody"/>
        <w:spacing w:before="0" w:after="0"/>
        <w:ind w:left="0" w:right="0" w:hanging="0"/>
        <w:rPr/>
      </w:pPr>
      <w:r>
        <w:rPr/>
        <w:t>​</w:t>
      </w:r>
    </w:p>
    <w:tbl>
      <w:tblPr>
        <w:tblW w:w="7207" w:type="dxa"/>
        <w:jc w:val="left"/>
        <w:tblInd w:w="0" w:type="dxa"/>
        <w:tblCellMar>
          <w:top w:w="0" w:type="dxa"/>
          <w:left w:w="0" w:type="dxa"/>
          <w:bottom w:w="0" w:type="dxa"/>
          <w:right w:w="0" w:type="dxa"/>
        </w:tblCellMar>
      </w:tblPr>
      <w:tblGrid>
        <w:gridCol w:w="1681"/>
        <w:gridCol w:w="326"/>
        <w:gridCol w:w="1501"/>
        <w:gridCol w:w="326"/>
        <w:gridCol w:w="1501"/>
        <w:gridCol w:w="326"/>
        <w:gridCol w:w="1546"/>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67435" cy="175260"/>
                      <wp:effectExtent l="0" t="0" r="0" b="0"/>
                      <wp:wrapNone/>
                      <wp:docPr id="65" name="Frame57"/>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53135" cy="175260"/>
                      <wp:effectExtent l="0" t="0" r="0" b="0"/>
                      <wp:wrapNone/>
                      <wp:docPr id="67" name="Frame59"/>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53135" cy="175260"/>
                      <wp:effectExtent l="0" t="0" r="0" b="0"/>
                      <wp:wrapNone/>
                      <wp:docPr id="69" name="Frame61"/>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981710" cy="175260"/>
                      <wp:effectExtent l="0" t="0" r="0" b="0"/>
                      <wp:wrapNone/>
                      <wp:docPr id="71" name="Frame63"/>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jc w:val="center"/>
              <w:rPr/>
            </w:pPr>
            <w:r>
              <w:rPr/>
              <w:t>    </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jc w:val="center"/>
              <w:rPr/>
            </w:pPr>
            <w:r>
              <w:rPr/>
              <w:t>    </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326" w:type="dxa"/>
            <w:tcBorders/>
            <w:shd w:fill="auto" w:val="clear"/>
            <w:vAlign w:val="center"/>
          </w:tcPr>
          <w:p>
            <w:pPr>
              <w:pStyle w:val="TableContents"/>
              <w:spacing w:before="0" w:after="0"/>
              <w:ind w:left="0" w:right="0" w:hanging="0"/>
              <w:jc w:val="center"/>
              <w:rPr/>
            </w:pPr>
            <w:r>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0"/>
              <w:ind w:left="0" w:right="0" w:hanging="0"/>
              <w:jc w:val="center"/>
              <w:rPr/>
            </w:pPr>
            <w:r>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68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Total hotels</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 </w:t>
            </w:r>
          </w:p>
        </w:tc>
        <w:tc>
          <w:tcPr>
            <w:tcW w:w="150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50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54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auto" w:val="clear"/>
            <w:vAlign w:val="center"/>
          </w:tcPr>
          <w:p>
            <w:pPr>
              <w:pStyle w:val="TableContents"/>
              <w:spacing w:before="0" w:after="0"/>
              <w:ind w:left="0" w:right="0" w:hanging="0"/>
              <w:rPr/>
            </w:pPr>
            <w:r>
              <w:rPr/>
              <w:t> </w:t>
            </w:r>
          </w:p>
        </w:tc>
        <w:tc>
          <w:tcPr>
            <w:tcW w:w="15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0"/>
              <w:ind w:left="0" w:right="0" w:hanging="0"/>
              <w:rPr/>
            </w:pPr>
            <w:r>
              <w:rPr/>
              <w:t> </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hotels</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auto" w:val="clear"/>
            <w:vAlign w:val="center"/>
          </w:tcPr>
          <w:p>
            <w:pPr>
              <w:pStyle w:val="TableContents"/>
              <w:spacing w:before="0" w:after="0"/>
              <w:ind w:left="0" w:right="0" w:hanging="0"/>
              <w:rPr/>
            </w:pPr>
            <w:r>
              <w:rPr/>
              <w:t> </w:t>
            </w:r>
          </w:p>
        </w:tc>
        <w:tc>
          <w:tcPr>
            <w:tcW w:w="15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168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Hotel rooms</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546" w:type="dxa"/>
            <w:tcBorders/>
            <w:shd w:fill="CCEEFF" w:val="cle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61,782</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81,594</w:t>
            </w:r>
          </w:p>
        </w:tc>
        <w:tc>
          <w:tcPr>
            <w:tcW w:w="326" w:type="dxa"/>
            <w:tcBorders/>
            <w:shd w:fill="auto" w:val="clear"/>
            <w:vAlign w:val="center"/>
          </w:tcPr>
          <w:p>
            <w:pPr>
              <w:pStyle w:val="TableContents"/>
              <w:spacing w:before="0" w:after="0"/>
              <w:ind w:left="0" w:right="0" w:hanging="0"/>
              <w:rPr/>
            </w:pPr>
            <w:r>
              <w:rPr/>
              <w:t> </w:t>
            </w:r>
          </w:p>
        </w:tc>
        <w:tc>
          <w:tcPr>
            <w:tcW w:w="15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102,945</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4,836</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c>
          <w:tcPr>
            <w:tcW w:w="326" w:type="dxa"/>
            <w:tcBorders/>
            <w:shd w:fill="CCEEFF" w:val="clear"/>
            <w:vAlign w:val="center"/>
          </w:tcPr>
          <w:p>
            <w:pPr>
              <w:pStyle w:val="TableContents"/>
              <w:spacing w:before="0" w:after="0"/>
              <w:ind w:left="0" w:right="0" w:hanging="0"/>
              <w:rPr/>
            </w:pPr>
            <w:r>
              <w:rPr/>
              <w:t> </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5,053</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hotels</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66,618</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86,654</w:t>
            </w:r>
          </w:p>
        </w:tc>
        <w:tc>
          <w:tcPr>
            <w:tcW w:w="326" w:type="dxa"/>
            <w:tcBorders/>
            <w:shd w:fill="auto" w:val="clear"/>
            <w:vAlign w:val="center"/>
          </w:tcPr>
          <w:p>
            <w:pPr>
              <w:pStyle w:val="TableContents"/>
              <w:spacing w:before="0" w:after="0"/>
              <w:ind w:left="0" w:right="0" w:hanging="0"/>
              <w:rPr/>
            </w:pPr>
            <w:r>
              <w:rPr/>
              <w:t> </w:t>
            </w:r>
          </w:p>
        </w:tc>
        <w:tc>
          <w:tcPr>
            <w:tcW w:w="154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107,998</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Note: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(1) Includes 19, 42 and 53 hotels requisitioned by the government for quarantine needs in response to the COVID-19 outbreak, which were not in operation as of December 31, 2020, 2021 and 2022, respectively.</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42"/>
        <w:gridCol w:w="326"/>
        <w:gridCol w:w="1036"/>
        <w:gridCol w:w="361"/>
        <w:gridCol w:w="1036"/>
        <w:gridCol w:w="361"/>
        <w:gridCol w:w="1036"/>
        <w:gridCol w:w="361"/>
        <w:gridCol w:w="1036"/>
        <w:gridCol w:w="361"/>
        <w:gridCol w:w="1036"/>
        <w:gridCol w:w="361"/>
        <w:gridCol w:w="1036"/>
        <w:gridCol w:w="316"/>
      </w:tblGrid>
      <w:tr>
        <w:trPr/>
        <w:tc>
          <w:tcPr>
            <w:tcW w:w="1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79170" cy="175260"/>
                      <wp:effectExtent l="0" t="0" r="0" b="0"/>
                      <wp:wrapNone/>
                      <wp:docPr id="72" name="Frame64"/>
                      <a:graphic xmlns:a="http://schemas.openxmlformats.org/drawingml/2006/main">
                        <a:graphicData uri="http://schemas.microsoft.com/office/word/2010/wordprocessingShape">
                          <wps:wsp>
                            <wps:cNvSpPr txBox="1"/>
                            <wps:spPr>
                              <a:xfrm>
                                <a:off x="0" y="0"/>
                                <a:ext cx="979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57860" cy="175260"/>
                      <wp:effectExtent l="0" t="0" r="0" b="0"/>
                      <wp:wrapNone/>
                      <wp:docPr id="74" name="Frame6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9235" cy="175260"/>
                      <wp:effectExtent l="0" t="0" r="0" b="0"/>
                      <wp:wrapNone/>
                      <wp:docPr id="75" name="Frame6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57860" cy="175260"/>
                      <wp:effectExtent l="0" t="0" r="0" b="0"/>
                      <wp:wrapNone/>
                      <wp:docPr id="76" name="Frame6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29235" cy="175260"/>
                      <wp:effectExtent l="0" t="0" r="0" b="0"/>
                      <wp:wrapNone/>
                      <wp:docPr id="77" name="Frame6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57860" cy="175260"/>
                      <wp:effectExtent l="0" t="0" r="0" b="0"/>
                      <wp:wrapNone/>
                      <wp:docPr id="78" name="Frame7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235" cy="175260"/>
                      <wp:effectExtent l="0" t="0" r="0" b="0"/>
                      <wp:wrapNone/>
                      <wp:docPr id="79" name="Frame7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57860" cy="175260"/>
                      <wp:effectExtent l="0" t="0" r="0" b="0"/>
                      <wp:wrapNone/>
                      <wp:docPr id="80" name="Frame7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9235" cy="175260"/>
                      <wp:effectExtent l="0" t="0" r="0" b="0"/>
                      <wp:wrapNone/>
                      <wp:docPr id="81" name="Frame7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7860" cy="175260"/>
                      <wp:effectExtent l="0" t="0" r="0" b="0"/>
                      <wp:wrapNone/>
                      <wp:docPr id="82" name="Frame7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29235" cy="175260"/>
                      <wp:effectExtent l="0" t="0" r="0" b="0"/>
                      <wp:wrapNone/>
                      <wp:docPr id="83" name="Frame7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7860" cy="175260"/>
                      <wp:effectExtent l="0" t="0" r="0" b="0"/>
                      <wp:wrapNone/>
                      <wp:docPr id="84" name="Frame7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0660" cy="175260"/>
                      <wp:effectExtent l="0" t="0" r="0" b="0"/>
                      <wp:wrapNone/>
                      <wp:docPr id="85" name="Frame7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02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16" w:type="dxa"/>
            <w:tcBorders/>
            <w:shd w:fill="auto" w:val="clear"/>
            <w:vAlign w:val="center"/>
          </w:tcPr>
          <w:p>
            <w:pPr>
              <w:pStyle w:val="TableContents"/>
              <w:spacing w:before="0" w:after="0"/>
              <w:ind w:left="0" w:right="0" w:hanging="0"/>
              <w:jc w:val="center"/>
              <w:rPr/>
            </w:pPr>
            <w:r>
              <w:rPr/>
              <w:t> </w:t>
            </w:r>
          </w:p>
        </w:tc>
      </w:tr>
      <w:tr>
        <w:trPr/>
        <w:tc>
          <w:tcPr>
            <w:tcW w:w="15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rPr/>
            </w:pPr>
            <w:r>
              <w:rPr/>
              <w:t>​</w:t>
            </w:r>
          </w:p>
        </w:tc>
        <w:tc>
          <w:tcPr>
            <w:tcW w:w="24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w:t>
            </w:r>
          </w:p>
        </w:tc>
        <w:tc>
          <w:tcPr>
            <w:tcW w:w="24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jc w:val="center"/>
              <w:rPr/>
            </w:pPr>
            <w:r>
              <w:rPr/>
              <w:t> </w:t>
            </w:r>
          </w:p>
        </w:tc>
      </w:tr>
      <w:tr>
        <w:trPr/>
        <w:tc>
          <w:tcPr>
            <w:tcW w:w="15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Exclusive</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5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Inclusive of</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Exclusive of</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Inclusive of</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Exclusive of</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Inclusive of</w:t>
            </w:r>
          </w:p>
        </w:tc>
        <w:tc>
          <w:tcPr>
            <w:tcW w:w="316" w:type="dxa"/>
            <w:tcBorders/>
            <w:shd w:fill="auto" w:val="clear"/>
            <w:vAlign w:val="center"/>
          </w:tcPr>
          <w:p>
            <w:pPr>
              <w:pStyle w:val="TableContents"/>
              <w:spacing w:before="0" w:after="0"/>
              <w:ind w:left="0" w:right="0" w:hanging="0"/>
              <w:jc w:val="center"/>
              <w:rPr/>
            </w:pPr>
            <w:r>
              <w:rPr/>
              <w:t> </w:t>
            </w:r>
          </w:p>
        </w:tc>
      </w:tr>
      <w:tr>
        <w:trPr/>
        <w:tc>
          <w:tcPr>
            <w:tcW w:w="15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requisitioned</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requisitioned</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requisitioned</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requisitioned</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requisitioned</w:t>
            </w:r>
          </w:p>
        </w:tc>
        <w:tc>
          <w:tcPr>
            <w:tcW w:w="36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requisitioned</w:t>
            </w:r>
          </w:p>
        </w:tc>
        <w:tc>
          <w:tcPr>
            <w:tcW w:w="316" w:type="dxa"/>
            <w:tcBorders/>
            <w:shd w:fill="auto" w:val="clear"/>
            <w:vAlign w:val="center"/>
          </w:tcPr>
          <w:p>
            <w:pPr>
              <w:pStyle w:val="TableContents"/>
              <w:spacing w:before="0" w:after="0"/>
              <w:ind w:left="0" w:right="0" w:hanging="0"/>
              <w:jc w:val="center"/>
              <w:rPr/>
            </w:pPr>
            <w:r>
              <w:rPr/>
              <w:t> </w:t>
            </w:r>
          </w:p>
        </w:tc>
      </w:tr>
      <w:tr>
        <w:trPr/>
        <w:tc>
          <w:tcPr>
            <w:tcW w:w="15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hotels</w:t>
            </w:r>
            <w:r>
              <w:rPr>
                <w:rFonts w:ascii="Times New Roman;Times;serif" w:hAnsi="Times New Roman;Times;serif"/>
                <w:b/>
                <w:sz w:val="12"/>
              </w:rPr>
              <w:t>(2)</w:t>
            </w:r>
          </w:p>
        </w:tc>
        <w:tc>
          <w:tcPr>
            <w:tcW w:w="361"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hotels</w:t>
            </w:r>
          </w:p>
        </w:tc>
        <w:tc>
          <w:tcPr>
            <w:tcW w:w="361"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hotels</w:t>
            </w:r>
            <w:r>
              <w:rPr>
                <w:rFonts w:ascii="Times New Roman;Times;serif" w:hAnsi="Times New Roman;Times;serif"/>
                <w:b/>
                <w:sz w:val="12"/>
              </w:rPr>
              <w:t>(2)</w:t>
            </w:r>
          </w:p>
        </w:tc>
        <w:tc>
          <w:tcPr>
            <w:tcW w:w="361"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hotels</w:t>
            </w:r>
          </w:p>
        </w:tc>
        <w:tc>
          <w:tcPr>
            <w:tcW w:w="361"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hotels</w:t>
            </w:r>
            <w:r>
              <w:rPr>
                <w:rFonts w:ascii="Times New Roman;Times;serif" w:hAnsi="Times New Roman;Times;serif"/>
                <w:b/>
                <w:sz w:val="12"/>
              </w:rPr>
              <w:t>(2)</w:t>
            </w:r>
          </w:p>
        </w:tc>
        <w:tc>
          <w:tcPr>
            <w:tcW w:w="361"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hotels</w:t>
            </w:r>
          </w:p>
        </w:tc>
        <w:tc>
          <w:tcPr>
            <w:tcW w:w="316" w:type="dxa"/>
            <w:tcBorders/>
            <w:shd w:fill="auto" w:val="clear"/>
            <w:vAlign w:val="center"/>
          </w:tcPr>
          <w:p>
            <w:pPr>
              <w:pStyle w:val="TableContents"/>
              <w:spacing w:before="0" w:after="0"/>
              <w:ind w:left="0" w:right="0" w:hanging="0"/>
              <w:jc w:val="center"/>
              <w:rPr/>
            </w:pPr>
            <w:r>
              <w:rPr/>
              <w:t> </w:t>
            </w:r>
          </w:p>
        </w:tc>
      </w:tr>
      <w:tr>
        <w:trPr/>
        <w:tc>
          <w:tcPr>
            <w:tcW w:w="154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Occupancy rate (in percentage)</w:t>
            </w:r>
          </w:p>
        </w:tc>
        <w:tc>
          <w:tcPr>
            <w:tcW w:w="326" w:type="dxa"/>
            <w:tcBorders/>
            <w:shd w:fill="CCEEFF" w:val="clear"/>
            <w:vAlign w:val="center"/>
          </w:tcPr>
          <w:p>
            <w:pPr>
              <w:pStyle w:val="TableContents"/>
              <w:spacing w:before="0" w:after="0"/>
              <w:ind w:left="0" w:right="0" w:hanging="0"/>
              <w:rPr/>
            </w:pPr>
            <w:r>
              <w:rPr/>
              <w:t> </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15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4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hotels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54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ADR (in RMB)</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15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382.2</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379.2</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407.4</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405.2</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386.4</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379.0</w:t>
            </w:r>
          </w:p>
        </w:tc>
        <w:tc>
          <w:tcPr>
            <w:tcW w:w="316" w:type="dxa"/>
            <w:tcBorders/>
            <w:shd w:fill="auto" w:val="clear"/>
            <w:vAlign w:val="center"/>
          </w:tcPr>
          <w:p>
            <w:pPr>
              <w:pStyle w:val="TableContents"/>
              <w:spacing w:before="0" w:after="0"/>
              <w:ind w:left="0" w:right="0" w:hanging="0"/>
              <w:rPr/>
            </w:pPr>
            <w:r>
              <w:rPr/>
              <w:t>​</w:t>
            </w:r>
          </w:p>
        </w:tc>
      </w:tr>
      <w:tr>
        <w:trPr/>
        <w:tc>
          <w:tcPr>
            <w:tcW w:w="154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467.7</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467.4</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c>
          <w:tcPr>
            <w:tcW w:w="316" w:type="dxa"/>
            <w:tcBorders/>
            <w:shd w:fill="CCEEFF" w:val="clear"/>
            <w:vAlign w:val="center"/>
          </w:tcPr>
          <w:p>
            <w:pPr>
              <w:pStyle w:val="TableContents"/>
              <w:spacing w:before="0" w:after="0"/>
              <w:ind w:left="0" w:right="0" w:hanging="0"/>
              <w:rPr/>
            </w:pPr>
            <w:r>
              <w:rPr/>
              <w:t>​</w:t>
            </w:r>
          </w:p>
        </w:tc>
      </w:tr>
      <w:tr>
        <w:trPr/>
        <w:tc>
          <w:tcPr>
            <w:tcW w:w="15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hotels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386.8</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415.2</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412.7</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16" w:type="dxa"/>
            <w:tcBorders/>
            <w:shd w:fill="auto" w:val="clear"/>
            <w:vAlign w:val="center"/>
          </w:tcPr>
          <w:p>
            <w:pPr>
              <w:pStyle w:val="TableContents"/>
              <w:spacing w:before="0" w:after="0"/>
              <w:ind w:left="0" w:right="0" w:hanging="0"/>
              <w:rPr/>
            </w:pPr>
            <w:r>
              <w:rPr/>
              <w:t>​</w:t>
            </w:r>
          </w:p>
        </w:tc>
      </w:tr>
      <w:tr>
        <w:trPr/>
        <w:tc>
          <w:tcPr>
            <w:tcW w:w="154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RevPAR (in RMB)</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15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283.7</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243.2</w:t>
            </w:r>
          </w:p>
        </w:tc>
        <w:tc>
          <w:tcPr>
            <w:tcW w:w="316" w:type="dxa"/>
            <w:tcBorders/>
            <w:shd w:fill="auto" w:val="clear"/>
            <w:vAlign w:val="center"/>
          </w:tcPr>
          <w:p>
            <w:pPr>
              <w:pStyle w:val="TableContents"/>
              <w:spacing w:before="0" w:after="0"/>
              <w:ind w:left="0" w:right="0" w:hanging="0"/>
              <w:rPr/>
            </w:pPr>
            <w:r>
              <w:rPr/>
              <w:t>​</w:t>
            </w:r>
          </w:p>
        </w:tc>
      </w:tr>
      <w:tr>
        <w:trPr/>
        <w:tc>
          <w:tcPr>
            <w:tcW w:w="154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339.4</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388.1</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387.5</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330.6</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316" w:type="dxa"/>
            <w:tcBorders/>
            <w:shd w:fill="CCEEFF" w:val="clear"/>
            <w:vAlign w:val="center"/>
          </w:tcPr>
          <w:p>
            <w:pPr>
              <w:pStyle w:val="TableContents"/>
              <w:spacing w:before="0" w:after="0"/>
              <w:ind w:left="0" w:right="0" w:hanging="0"/>
              <w:rPr/>
            </w:pPr>
            <w:r>
              <w:rPr/>
              <w:t>​</w:t>
            </w:r>
          </w:p>
        </w:tc>
      </w:tr>
      <w:tr>
        <w:trPr/>
        <w:tc>
          <w:tcPr>
            <w:tcW w:w="15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hotels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275.1</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290.5</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248.1</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Note:</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16"/>
        </w:rPr>
      </w:pPr>
      <w:r>
        <w:rPr>
          <w:rFonts w:ascii="Times New Roman;Times;serif" w:hAnsi="Times New Roman;Times;serif"/>
          <w:sz w:val="16"/>
        </w:rPr>
        <w:t>(2) Excludes, for purposes of calculating these key operating metrics, approximately 1,777 thousand, 1,191 thousand and 5,532 thousand room-nights related to hotel rooms that were requisitioned by the government for quarantine needs in response to the COVID-19 pandemic or otherwise became unavailable due to temporary hotel closures in 2020, 2021 and 2022, respectively. The ADR and RevPAR are calculated based on the tax inclusive room rates.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RevPAR.</w:t>
      </w:r>
      <w:r>
        <w:rPr>
          <w:rFonts w:ascii="Times New Roman;Times;serif" w:hAnsi="Times New Roman;Times;serif"/>
          <w:sz w:val="20"/>
        </w:rPr>
        <w:t>   RevPAR is calculated as the total revenue during a period divided by the number of available rooms of such hotel during the same period. As a commonly used operating measure in the hospitality industry, RevPAR is largely affected by occupancy rate and ADR, as discussed below. Occupancy rates of our hotels mainly depend on the locations of our hotels, product and service offerings, the effectiveness of our sales and brand promotion efforts, our ability to effectively manage hotel reservations, the performance of managerial and other employees of our hotels, as well as our ability to respond to competitive pressure. We set the room rates of our hotels primarily based on the location of a hotel, room rates charged by our competitors within the same locality, seasonality, and our relative brand and product strengths. To drive our occupancy rates and room rates, we focus on continuing to improve our guests’ hotel and retail experiences and increasing the stickiness of our loyalty program members, through continuously improving our service quality, expanding our hotel brand portfolios, and integrating technologies into our customer service and hotel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Key Components of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key performance indicators consist of our net revenues, operating costs and expenses, EBITDA (non-GAAP) and adjusted EBITDA (non-GAAP) which are discussed in more detail in the following paragraphs.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Net revenues.</w:t>
      </w:r>
      <w:r>
        <w:rPr>
          <w:rFonts w:ascii="Times New Roman;Times;serif" w:hAnsi="Times New Roman;Times;serif"/>
          <w:sz w:val="20"/>
        </w:rPr>
        <w:t>   We primarily derive our revenues from (i) franchise and management fees from our manachised hotels and sales of hotel supplies and other products to our manachised hotels, (ii) operations of our leased hotels, and (iii) sales of our retail products in connection with our scenario-based retail business.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revenues generated from our manachised and leased hotels, and retail business and others, both in absolute amount and as a percentage of net revenues for the years indicated.</w:t>
      </w:r>
    </w:p>
    <w:p>
      <w:pPr>
        <w:pStyle w:val="TextBody"/>
        <w:spacing w:before="0" w:after="0"/>
        <w:ind w:left="0" w:right="0" w:hanging="0"/>
        <w:rPr/>
      </w:pPr>
      <w:r>
        <w:rPr/>
        <w:t>​</w:t>
      </w:r>
    </w:p>
    <w:tbl>
      <w:tblPr>
        <w:tblW w:w="9940" w:type="dxa"/>
        <w:jc w:val="left"/>
        <w:tblInd w:w="0" w:type="dxa"/>
        <w:tblCellMar>
          <w:top w:w="0" w:type="dxa"/>
          <w:left w:w="0" w:type="dxa"/>
          <w:bottom w:w="0" w:type="dxa"/>
          <w:right w:w="0" w:type="dxa"/>
        </w:tblCellMar>
      </w:tblPr>
      <w:tblGrid>
        <w:gridCol w:w="2266"/>
        <w:gridCol w:w="326"/>
        <w:gridCol w:w="931"/>
        <w:gridCol w:w="326"/>
        <w:gridCol w:w="571"/>
        <w:gridCol w:w="326"/>
        <w:gridCol w:w="931"/>
        <w:gridCol w:w="326"/>
        <w:gridCol w:w="571"/>
        <w:gridCol w:w="326"/>
        <w:gridCol w:w="931"/>
        <w:gridCol w:w="326"/>
        <w:gridCol w:w="781"/>
        <w:gridCol w:w="326"/>
        <w:gridCol w:w="676"/>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38910" cy="175260"/>
                      <wp:effectExtent l="0" t="0" r="0" b="0"/>
                      <wp:wrapNone/>
                      <wp:docPr id="86" name="Frame78"/>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91185" cy="175260"/>
                      <wp:effectExtent l="0" t="0" r="0" b="0"/>
                      <wp:wrapNone/>
                      <wp:docPr id="88" name="Frame8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8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92" name="Frame8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4" name="Frame8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91185" cy="175260"/>
                      <wp:effectExtent l="0" t="0" r="0" b="0"/>
                      <wp:wrapNone/>
                      <wp:docPr id="96" name="Frame8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100" name="Frame9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48"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30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940"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48"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926,307</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1,220,301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1,360,843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197,304</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hotels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496,470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630,238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552,929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80,167</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 revenues and others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143,775</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297,038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349,211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50,631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2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1,566,552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2,147,577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2,262,983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328,102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Manachised hotels.</w:t>
      </w:r>
      <w:r>
        <w:rPr>
          <w:rFonts w:ascii="Times New Roman;Times;serif" w:hAnsi="Times New Roman;Times;serif"/>
          <w:sz w:val="20"/>
        </w:rPr>
        <w:t> In 2020, 2021 and 2022, we generated revenues of RMB926.3 million, RMB1,220.3 million and RMB1,360.8 million (US$197.3 million) from our manachised hotels, respectively which accounted for 59.1%, 56.8% and 60.1% of our net revenues for the relevant years. As of December 31, 2022, we had 363 manachised hotels under development.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We select manachised hotels based on a variety of factors, including the attractiveness of the location, the quality of the franchised property and the background, and business ideology and value of the franchisee. We manage our manachised hotels and impose the same high service quality and operational standards on all manachised hotels as our leased hotels to ensure the quality and consistency of our service and product offerings across our hotel network. We authorize a manachised hotel to use our relevant hotel brand names, logos and relevant trademarks. The franchisee is responsible for the hotel’s construction, renovation and maintenance. We provide guidance to the franchisee on the construction or renovation of the hotel and require the hotel to meet our standards before approving it to commence operations. We appoint and train hotel managers and on-site HR representatives who are responsible for hiring hotel staff and managing daily operations of our manachised hotels. We also provide our franchisees with comprehensive management services, including central reservation, revenue management, sales and marketing support, technology support, quality assurance inspections and other operational support and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Our franchise and management agreements for our manachised hotels typically run for a fixed term of 8 to 15 years. We generally charge our franchisees an upfront franchise fee at a rate of RMB4,000 to RMB6,000 per room, depending on the brand of the manachised hotel, as well as fees related to pre-opening services, including information system installation service. After a manachised hotel opens, we generally charge the franchisee a monthly franchise and management fee of 5% to 6% of the gross revenues generated by each manachised hotel depending on the hotel brand. Furthermore, we charge our franchisees a fixed monthly hotel managers fee, fees for purchase of hotel supplies and other products, and other on-going service fees, such as system and accounting support fees. We do not expect any material franchise and management agreements to be terminated in the foreseeable future.</w:t>
      </w:r>
    </w:p>
    <w:p>
      <w:pPr>
        <w:pStyle w:val="TextBody"/>
        <w:spacing w:before="0" w:after="240"/>
        <w:ind w:left="720" w:right="0" w:hanging="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Leased hotels.</w:t>
      </w:r>
      <w:r>
        <w:rPr>
          <w:rFonts w:ascii="Times New Roman;Times;serif" w:hAnsi="Times New Roman;Times;serif"/>
          <w:sz w:val="20"/>
        </w:rPr>
        <w:t> In 2020, 2021 and 2022, we generated revenues of RMB496.5 million, RMB630.2 million and RMB552.9 million (US$80.2 million) from our leased hotels, respectively, which accounted for 31.7%, 29.4% and 24.5% of our net revenues for the relevant years.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For our leased hotels, we lease properties from real estate owners or lessors and we are responsible for hotel development and customization to conform to our standards, as well as for repairs and maintenance and operating costs and expenses of properties over the term of the lease. We are also responsible for all aspects of hotel operations and management, including hiring, training and supervising the hotel managers and employees required to operate our hotels and purchasing supplies. Our typical lease term ranges from 10 to 20 years. We typically enjoy an initial three to six-month rent-free period. After that, we generally pay fixed rent on a monthly or quarterly basis for the first two years of the lease term, after which we are generally subject to a modest increase every two to five years within the lease term. We do not expect any material lease agreements to be terminated in the foreseeable future.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rent is generally paid upfront at the beginning of each payment period and we recognize the total rental expense on a straight-line basis over the initial lease term.</w:t>
      </w:r>
    </w:p>
    <w:p>
      <w:pPr>
        <w:pStyle w:val="TextBody"/>
        <w:spacing w:before="0" w:after="240"/>
        <w:ind w:left="720" w:right="0" w:hanging="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Retail revenues and others.</w:t>
      </w:r>
      <w:r>
        <w:rPr>
          <w:rFonts w:ascii="Times New Roman;Times;serif" w:hAnsi="Times New Roman;Times;serif"/>
          <w:sz w:val="20"/>
        </w:rPr>
        <w:t>   Besides the revenues discussed above, we also generate a growing portion of revenues from our other business as we continue to diversify our monetization methods and drive customer spending, primarily including our scenario-based retail business. In 2020, 2021 and 2022, we generated revenues of RMB143.8 million, RMB297.0 million and RMB349.2 million (US$50.6 million) from retail and other business, respectively, which accounted for 9.2%, 13.8% and 15.4% of our net revenues for the relevant years.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Our operating costs and expenses consist of costs for hotel operation, other operating costs, selling and marketing expenses, general and administrative expenses, technology and development expenses, and pre-opening expenses. The following table sets forth the components of our operating costs and expenses, both in absolute amount and as a percentage of net revenues for the years indicated.</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591"/>
        <w:gridCol w:w="326"/>
        <w:gridCol w:w="931"/>
        <w:gridCol w:w="326"/>
        <w:gridCol w:w="571"/>
        <w:gridCol w:w="326"/>
        <w:gridCol w:w="931"/>
        <w:gridCol w:w="326"/>
        <w:gridCol w:w="571"/>
        <w:gridCol w:w="326"/>
        <w:gridCol w:w="931"/>
        <w:gridCol w:w="326"/>
        <w:gridCol w:w="781"/>
        <w:gridCol w:w="326"/>
        <w:gridCol w:w="616"/>
      </w:tblGrid>
      <w:tr>
        <w:trPr/>
        <w:tc>
          <w:tcPr>
            <w:tcW w:w="2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45285" cy="175260"/>
                      <wp:effectExtent l="0" t="0" r="0" b="0"/>
                      <wp:wrapNone/>
                      <wp:docPr id="101" name="Frame93"/>
                      <a:graphic xmlns:a="http://schemas.openxmlformats.org/drawingml/2006/main">
                        <a:graphicData uri="http://schemas.microsoft.com/office/word/2010/wordprocessingShape">
                          <wps:wsp>
                            <wps:cNvSpPr txBox="1"/>
                            <wps:spPr>
                              <a:xfrm>
                                <a:off x="0" y="0"/>
                                <a:ext cx="1645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91185" cy="175260"/>
                      <wp:effectExtent l="0" t="0" r="0" b="0"/>
                      <wp:wrapNone/>
                      <wp:docPr id="103" name="Frame9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9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7" name="Frame9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9" name="Frame10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91185" cy="175260"/>
                      <wp:effectExtent l="0" t="0" r="0" b="0"/>
                      <wp:wrapNone/>
                      <wp:docPr id="111" name="Frame10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0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91160" cy="175260"/>
                      <wp:effectExtent l="0" t="0" r="0" b="0"/>
                      <wp:wrapNone/>
                      <wp:docPr id="115" name="Frame107"/>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288"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5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5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288"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w:t>
            </w:r>
          </w:p>
        </w:tc>
      </w:tr>
      <w:tr>
        <w:trPr/>
        <w:tc>
          <w:tcPr>
            <w:tcW w:w="25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1,566,552</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2,147,577</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2,262,983</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328,102</w:t>
            </w:r>
          </w:p>
        </w:tc>
        <w:tc>
          <w:tcPr>
            <w:tcW w:w="326" w:type="dxa"/>
            <w:tcBorders/>
            <w:shd w:fill="CCEEFF" w:val="clear"/>
            <w:vAlign w:val="center"/>
          </w:tcPr>
          <w:p>
            <w:pPr>
              <w:pStyle w:val="TableContents"/>
              <w:spacing w:before="0" w:after="0"/>
              <w:ind w:left="0" w:right="0" w:hanging="0"/>
              <w:rPr/>
            </w:pPr>
            <w:r>
              <w:rPr/>
              <w:t> </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5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auto" w:val="clear"/>
            <w:vAlign w:val="center"/>
          </w:tcPr>
          <w:p>
            <w:pPr>
              <w:pStyle w:val="TableContents"/>
              <w:spacing w:before="0" w:after="0"/>
              <w:ind w:left="0" w:right="0" w:hanging="0"/>
              <w:rPr/>
            </w:pPr>
            <w:r>
              <w:rPr/>
              <w:t> </w:t>
            </w:r>
          </w:p>
        </w:tc>
        <w:tc>
          <w:tcPr>
            <w:tcW w:w="93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3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3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16" w:type="dxa"/>
            <w:tcBorders>
              <w:top w:val="double" w:sz="6" w:space="0" w:color="000000"/>
            </w:tcBorders>
            <w:shd w:fill="auto" w:val="clear"/>
            <w:tcMar>
              <w:top w:w="28" w:type="dxa"/>
            </w:tcMar>
            <w:vAlign w:val="center"/>
          </w:tcPr>
          <w:p>
            <w:pPr>
              <w:pStyle w:val="TableContents"/>
              <w:spacing w:before="0" w:after="0"/>
              <w:ind w:left="0" w:right="0" w:hanging="0"/>
              <w:jc w:val="right"/>
              <w:rPr/>
            </w:pPr>
            <w:r>
              <w:rPr/>
              <w:t>  </w:t>
            </w:r>
          </w:p>
        </w:tc>
      </w:tr>
      <w:tr>
        <w:trPr/>
        <w:tc>
          <w:tcPr>
            <w:tcW w:w="25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Hotel operating costs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1,150,101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1,419,578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1,393,312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202,011</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25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costs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78,746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163,324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186,685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27,068</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5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70,972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124,210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139,929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20,288</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5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131,366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197,064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350,009</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50,746</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25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 and development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33,649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52,121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66,182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9,594</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5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Pre-opening expenses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61,878</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17,595</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5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costs and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1,526,712</w:t>
            </w:r>
          </w:p>
        </w:tc>
        <w:tc>
          <w:tcPr>
            <w:tcW w:w="326" w:type="dxa"/>
            <w:tcBorders/>
            <w:shd w:fill="CCEEFF" w:val="clear"/>
            <w:vAlign w:val="center"/>
          </w:tcPr>
          <w:p>
            <w:pPr>
              <w:pStyle w:val="TableContents"/>
              <w:spacing w:before="0" w:after="0"/>
              <w:ind w:left="0" w:right="0" w:hanging="0"/>
              <w:rPr/>
            </w:pPr>
            <w:r>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97.5</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1,973,892</w:t>
            </w:r>
          </w:p>
        </w:tc>
        <w:tc>
          <w:tcPr>
            <w:tcW w:w="326" w:type="dxa"/>
            <w:tcBorders/>
            <w:shd w:fill="CCEEFF" w:val="clear"/>
            <w:vAlign w:val="center"/>
          </w:tcPr>
          <w:p>
            <w:pPr>
              <w:pStyle w:val="TableContents"/>
              <w:spacing w:before="0" w:after="0"/>
              <w:ind w:left="0" w:right="0" w:hanging="0"/>
              <w:rPr/>
            </w:pPr>
            <w:r>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91.9</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2,136,117</w:t>
            </w:r>
          </w:p>
        </w:tc>
        <w:tc>
          <w:tcPr>
            <w:tcW w:w="326" w:type="dxa"/>
            <w:tcBorders/>
            <w:shd w:fill="CCEEFF" w:val="clear"/>
            <w:vAlign w:val="center"/>
          </w:tcPr>
          <w:p>
            <w:pPr>
              <w:pStyle w:val="TableContents"/>
              <w:spacing w:before="0" w:after="0"/>
              <w:ind w:left="0" w:right="0" w:hanging="0"/>
              <w:rPr/>
            </w:pPr>
            <w:r>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309,707</w:t>
            </w:r>
          </w:p>
        </w:tc>
        <w:tc>
          <w:tcPr>
            <w:tcW w:w="326" w:type="dxa"/>
            <w:tcBorders/>
            <w:shd w:fill="CCEEFF" w:val="clear"/>
            <w:vAlign w:val="center"/>
          </w:tcPr>
          <w:p>
            <w:pPr>
              <w:pStyle w:val="TableContents"/>
              <w:spacing w:before="0" w:after="0"/>
              <w:ind w:left="0" w:right="0" w:hanging="0"/>
              <w:rPr/>
            </w:pPr>
            <w:r>
              <w:rPr/>
              <w:t> </w:t>
            </w:r>
          </w:p>
        </w:tc>
        <w:tc>
          <w:tcPr>
            <w:tcW w:w="616" w:type="dxa"/>
            <w:tcBorders>
              <w:top w:val="single" w:sz="2" w:space="0" w:color="000000"/>
            </w:tcBorders>
            <w:shd w:fill="CCEEFF" w:val="clear"/>
            <w:tcMar>
              <w:top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94.4</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Hotel operating costs.</w:t>
      </w:r>
      <w:r>
        <w:rPr>
          <w:rFonts w:ascii="Times New Roman;Times;serif" w:hAnsi="Times New Roman;Times;serif"/>
          <w:sz w:val="20"/>
        </w:rPr>
        <w:t>   Our hotel operating costs account for a substantial majority of our total operating costs and expenses, which consist of costs and expenses directly attributable to the operation of our leased and manachised hotels.</w:t>
      </w:r>
    </w:p>
    <w:p>
      <w:pPr>
        <w:pStyle w:val="TextBody"/>
        <w:spacing w:before="0" w:after="0"/>
        <w:ind w:left="0" w:right="0" w:hanging="0"/>
        <w:jc w:val="both"/>
        <w:rPr/>
      </w:pPr>
      <w:r>
        <w:rPr/>
        <w:t>​</w:t>
      </w:r>
    </w:p>
    <w:tbl>
      <w:tblPr>
        <w:tblW w:w="7354" w:type="dxa"/>
        <w:jc w:val="left"/>
        <w:tblInd w:w="0" w:type="dxa"/>
        <w:tblCellMar>
          <w:top w:w="0" w:type="dxa"/>
          <w:left w:w="0" w:type="dxa"/>
          <w:bottom w:w="0" w:type="dxa"/>
          <w:right w:w="0" w:type="dxa"/>
        </w:tblCellMar>
      </w:tblPr>
      <w:tblGrid>
        <w:gridCol w:w="2371"/>
        <w:gridCol w:w="326"/>
        <w:gridCol w:w="931"/>
        <w:gridCol w:w="326"/>
        <w:gridCol w:w="931"/>
        <w:gridCol w:w="326"/>
        <w:gridCol w:w="931"/>
        <w:gridCol w:w="326"/>
        <w:gridCol w:w="886"/>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05585" cy="175260"/>
                      <wp:effectExtent l="0" t="0" r="0" b="0"/>
                      <wp:wrapNone/>
                      <wp:docPr id="116" name="Frame108"/>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1185" cy="175260"/>
                      <wp:effectExtent l="0" t="0" r="0" b="0"/>
                      <wp:wrapNone/>
                      <wp:docPr id="118" name="Frame11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1185" cy="175260"/>
                      <wp:effectExtent l="0" t="0" r="0" b="0"/>
                      <wp:wrapNone/>
                      <wp:docPr id="120" name="Frame11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1185" cy="175260"/>
                      <wp:effectExtent l="0" t="0" r="0" b="0"/>
                      <wp:wrapNone/>
                      <wp:docPr id="122" name="Frame11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2610" cy="175260"/>
                      <wp:effectExtent l="0" t="0" r="0" b="0"/>
                      <wp:wrapNone/>
                      <wp:docPr id="124" name="Frame11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5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735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5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Hotel operating costs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616,678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795,661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801,910</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116,266</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hotels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533,423</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623,917</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591,402</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85,745</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hotel operating costs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1,150,101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1,419,578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1,393,312</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202,011</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Manachised hotel operating costs primarily include costs of hotel supplies and other products sold to our manachised hotels as well as compensation and benefits for manachised hotel managers and on-site HR representatives. Compensation and benefits are recouped by us in the form of monthly hotel managers fees. We aim to manage the growth rate of these costs while we increase the revenue of manachised hotels through fast expansion in the number of such hotels.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Leased hotel operating costs primarily include rental and utility costs for hotel properties, compensation and benefits for our hotel-based employees, costs of hotel room consumable products and depreciation and amortization of leasehold improvements. These costs are relatively fixed. We aim to manage these costs while we increase the revenue of leased hotels.</w:t>
            </w:r>
          </w:p>
        </w:tc>
      </w:tr>
    </w:tbl>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We aim to continue to manage our hotel operating costs as a percentage of our net revenues as we continue to achieve economies of scale and manage our operating costs and expenses through application of technologies.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Other operating costs.</w:t>
      </w:r>
      <w:r>
        <w:rPr>
          <w:rFonts w:ascii="Times New Roman;Times;serif" w:hAnsi="Times New Roman;Times;serif"/>
          <w:sz w:val="20"/>
        </w:rPr>
        <w:t>   Besides our hotel operating costs, we also incur other operating costs, primarily costs of our lifestyle products in relation to our retail business.</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Selling and marketing expenses.</w:t>
      </w:r>
      <w:r>
        <w:rPr>
          <w:rFonts w:ascii="Times New Roman;Times;serif" w:hAnsi="Times New Roman;Times;serif"/>
          <w:sz w:val="20"/>
        </w:rPr>
        <w:t>   Our selling and marketing expenses consist primarily of commissions to travel intermediaries, expenses for marketing programs and materials, and compensation and benefits for our sales and marketing personnel.</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consist primarily of compensation and benefits for our corporate and regional office and other relevant employees, travel and communication expenses of our general and administrative staff, costs of third-party professional services, and office expenses for corporate and regional offices including depreciation and amortization expense of office equipment.</w:t>
      </w:r>
    </w:p>
    <w:p>
      <w:pPr>
        <w:pStyle w:val="TextBody"/>
        <w:spacing w:before="0" w:after="24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Technology and development expenses.</w:t>
      </w:r>
      <w:r>
        <w:rPr>
          <w:rFonts w:ascii="Times New Roman;Times;serif" w:hAnsi="Times New Roman;Times;serif"/>
          <w:sz w:val="20"/>
        </w:rPr>
        <w:t>   Our technology and development expenses consist of (i) staff costs incurred for the self-developed hotel operation and reservation systems, (ii) servers and cloud infrastructure costs, (iii) other expenses related to technology and development functions. We expect that our technology and development expenses will increase in the near term as we improve IT infrastructure capabilities and capacity and leverage on technology to improve our operating efficiency.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w:t>
      </w:r>
      <w:r>
        <w:rPr>
          <w:rFonts w:ascii="Times New Roman;Times;serif" w:hAnsi="Times New Roman;Times;serif"/>
          <w:i/>
          <w:sz w:val="20"/>
        </w:rPr>
        <w:t>Pre-opening expenses.</w:t>
      </w:r>
      <w:r>
        <w:rPr>
          <w:rFonts w:ascii="Times New Roman;Times;serif" w:hAnsi="Times New Roman;Times;serif"/>
          <w:sz w:val="20"/>
        </w:rPr>
        <w:t>   Our pre-opening expenses are incurred in connection with development activities of our leased hotels and consist primarily of rental expenses and staff costs incurred during the relevant hotel pre-opening period. Our pre-opening expenses are largely determined by the number of pre-opening hotels in the pipeline and the rental expenses incurred during the development stage. The following table sets forth the components of our pre-opening expenses for the years indicated.</w:t>
      </w:r>
    </w:p>
    <w:p>
      <w:pPr>
        <w:pStyle w:val="TextBody"/>
        <w:spacing w:before="0" w:after="0"/>
        <w:ind w:left="0" w:right="0" w:hanging="0"/>
        <w:jc w:val="both"/>
        <w:rPr/>
      </w:pPr>
      <w:r>
        <w:rPr/>
        <w:t>​</w:t>
      </w:r>
    </w:p>
    <w:tbl>
      <w:tblPr>
        <w:tblW w:w="6019" w:type="dxa"/>
        <w:jc w:val="left"/>
        <w:tblInd w:w="0" w:type="dxa"/>
        <w:tblCellMar>
          <w:top w:w="0" w:type="dxa"/>
          <w:left w:w="0" w:type="dxa"/>
          <w:bottom w:w="0" w:type="dxa"/>
          <w:right w:w="0" w:type="dxa"/>
        </w:tblCellMar>
      </w:tblPr>
      <w:tblGrid>
        <w:gridCol w:w="2431"/>
        <w:gridCol w:w="326"/>
        <w:gridCol w:w="676"/>
        <w:gridCol w:w="326"/>
        <w:gridCol w:w="676"/>
        <w:gridCol w:w="326"/>
        <w:gridCol w:w="481"/>
        <w:gridCol w:w="326"/>
        <w:gridCol w:w="451"/>
      </w:tblGrid>
      <w:tr>
        <w:trPr/>
        <w:tc>
          <w:tcPr>
            <w:tcW w:w="2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43685" cy="175260"/>
                      <wp:effectExtent l="0" t="0" r="0" b="0"/>
                      <wp:wrapNone/>
                      <wp:docPr id="125" name="Frame117"/>
                      <a:graphic xmlns:a="http://schemas.openxmlformats.org/drawingml/2006/main">
                        <a:graphicData uri="http://schemas.microsoft.com/office/word/2010/wordprocessingShape">
                          <wps:wsp>
                            <wps:cNvSpPr txBox="1"/>
                            <wps:spPr>
                              <a:xfrm>
                                <a:off x="0" y="0"/>
                                <a:ext cx="1543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1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9260" cy="175260"/>
                      <wp:effectExtent l="0" t="0" r="0" b="0"/>
                      <wp:wrapNone/>
                      <wp:docPr id="129" name="Frame12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5435" cy="175260"/>
                      <wp:effectExtent l="0" t="0" r="0" b="0"/>
                      <wp:wrapNone/>
                      <wp:docPr id="131" name="Frame123"/>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86385" cy="175260"/>
                      <wp:effectExtent l="0" t="0" r="0" b="0"/>
                      <wp:wrapNone/>
                      <wp:docPr id="133" name="Frame125"/>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4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019"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Rental expenses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56,286</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11,899</w:t>
            </w:r>
          </w:p>
        </w:tc>
        <w:tc>
          <w:tcPr>
            <w:tcW w:w="326"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right"/>
              <w:rPr/>
            </w:pPr>
            <w:r>
              <w:rPr/>
              <w:t>—</w:t>
            </w:r>
          </w:p>
        </w:tc>
      </w:tr>
      <w:tr>
        <w:trPr/>
        <w:tc>
          <w:tcPr>
            <w:tcW w:w="24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 cost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3,877</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3,605</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r>
      <w:tr>
        <w:trPr/>
        <w:tc>
          <w:tcPr>
            <w:tcW w:w="24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c>
          <w:tcPr>
            <w:tcW w:w="326" w:type="dxa"/>
            <w:tcBorders/>
            <w:shd w:fill="CCEEFF" w:val="cle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4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pre-opening expenses</w:t>
            </w:r>
          </w:p>
        </w:tc>
        <w:tc>
          <w:tcPr>
            <w:tcW w:w="326" w:type="dxa"/>
            <w:tcBorders/>
            <w:shd w:fill="auto" w:val="clear"/>
            <w:vAlign w:val="center"/>
          </w:tcPr>
          <w:p>
            <w:pPr>
              <w:pStyle w:val="TableContents"/>
              <w:spacing w:before="0" w:after="0"/>
              <w:ind w:left="0" w:right="0" w:hanging="0"/>
              <w:rPr/>
            </w:pPr>
            <w:r>
              <w:rPr/>
              <w:t> </w:t>
            </w:r>
          </w:p>
        </w:tc>
        <w:tc>
          <w:tcPr>
            <w:tcW w:w="6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61,878</w:t>
            </w:r>
          </w:p>
        </w:tc>
        <w:tc>
          <w:tcPr>
            <w:tcW w:w="326" w:type="dxa"/>
            <w:tcBorders/>
            <w:shd w:fill="auto" w:val="clear"/>
            <w:vAlign w:val="center"/>
          </w:tcPr>
          <w:p>
            <w:pPr>
              <w:pStyle w:val="TableContents"/>
              <w:spacing w:before="0" w:after="0"/>
              <w:ind w:left="0" w:right="0" w:hanging="0"/>
              <w:rPr/>
            </w:pPr>
            <w:r>
              <w:rPr/>
              <w:t> </w:t>
            </w:r>
          </w:p>
        </w:tc>
        <w:tc>
          <w:tcPr>
            <w:tcW w:w="6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17,595</w:t>
            </w:r>
          </w:p>
        </w:tc>
        <w:tc>
          <w:tcPr>
            <w:tcW w:w="326" w:type="dxa"/>
            <w:tcBorders/>
            <w:shd w:fill="auto" w:val="clear"/>
            <w:vAlign w:val="center"/>
          </w:tcPr>
          <w:p>
            <w:pPr>
              <w:pStyle w:val="TableContents"/>
              <w:spacing w:before="0" w:after="0"/>
              <w:ind w:left="0" w:right="0" w:hanging="0"/>
              <w:rPr/>
            </w:pPr>
            <w:r>
              <w:rPr/>
              <w:t>​</w:t>
            </w:r>
          </w:p>
        </w:tc>
        <w:tc>
          <w:tcPr>
            <w:tcW w:w="4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EBITDA (non-GAAP) and adjusted EBITDA (non-GAAP).</w:t>
      </w:r>
      <w:r>
        <w:rPr>
          <w:rFonts w:ascii="Times New Roman;Times;serif" w:hAnsi="Times New Roman;Times;serif"/>
          <w:sz w:val="20"/>
        </w:rPr>
        <w:t>   We use earnings before interest expenses, interest income, income tax expense and depreciation and amortization, or EBITDA, a non-GAAP financial measure, as a financial metric to assess our results of operations before the impact of financing transactions and income taxes. We believe that EBITDA (non-GAAP) is widely used by other companies in the hospitality industry and may be used by investors as a measure of our financial performance. Given the significant investments that we have made in leasehold improvements and other fixed assets of leased hotels, depreciation and amortization expense accounts for a significant portion of our cost structure. We believe that EBITDA (non-GAAP) will provide investors with a useful tool for comparability between periods because it eliminates depreciation and amortization expense attributable to capital expenditures. In 2020, 2021 and 2022, our EBITDA (non-GAAP) were RMB161.2 million, RMB299.0 million and RMB261.2 million (US$37.9 million), respectively. We also use adjusted EBITDA, another non-GAAP measure defined as EBITDA excluding share-based compensation expenses. Adjusted EBITDA (non-GAAP) provides meaningful supplemental information regarding our performance by excluding share-based compensation expenses, as the investors can better understand our performance and compare business trends among different reporting periods on a consistent basis excluding share-based compensation expenses which are not expected to result in cash payment. In 2022, adjusted EBITDA (non-GAAP) was RMB424.4 million (US$61.5 million), representing an increase by 41.9% from RMB299.0 million in 2021. For a reconciliation of our net income to EBITDA and adjusted EBITDA, see “Item 5. Operating and Financial Review and Prospects—5.A. Operating Results—Non-GAAP Financial Measures.”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Taxation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Cayman Islands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incorporated in the Cayman Islands. Under the current laws of the Cayman Islands, we are not subject to income, corporate or capital gains tax in the Cayman Islands. In addition, our payment of dividends, if any, is not subject to withholding tax in the Cayman Islands.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Hong Kong</w:t>
      </w:r>
    </w:p>
    <w:p>
      <w:pPr>
        <w:pStyle w:val="TextBody"/>
        <w:spacing w:before="240" w:after="240"/>
        <w:ind w:left="0" w:right="0" w:firstLine="360"/>
        <w:jc w:val="both"/>
        <w:rPr>
          <w:rFonts w:ascii="Times New Roman;Times;serif" w:hAnsi="Times New Roman;Times;serif"/>
          <w:sz w:val="20"/>
        </w:rPr>
      </w:pPr>
      <w:r>
        <w:rPr>
          <w:rFonts w:ascii="Times New Roman;Times;serif" w:hAnsi="Times New Roman;Times;serif"/>
          <w:sz w:val="20"/>
        </w:rPr>
        <w:t>Under the current Hong Kong S.A.R. Inland Revenue Ordinance, our intermediary holding company in Hong Kong is subject to Hong Kong S.A.R. profits tax at the rate of 16.5% on its taxable income generated from the operations in Hong Kong S.A.R. A two-tiered profits tax rates regime was introduced in 2018 where the first HK$2 million of assessable profits earned by a company will be taxed at half of the current tax rate (8.25%) whilst the remaining profits will continue to be taxed at 16.5%.There is an anti-fragmentation measure where each group will have to nominate only one company in the group to benefit from the progressive rates. Payments of dividends by our intermediary holding company in Hong Kong is not subject to any Hong Kong withholding tax.</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in China are companies incorporated under PRC law and, as such, are subject to PRC enterprise income tax on their taxable income in accordance with the relevant PRC income tax laws. Pursuant to the PRC Enterprise Income Tax Law, or EIT Law, which became effective on January 1, 2008, a uniform 25% enterprise income tax rate is generally applicable to both foreign-invested enterprises and domestic enterprises, except where a special preferential rate applies. The enterprise income tax is calculated based on the entity’s global income as determined under PRC tax laws and accounting standards.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VAT at a rate of 3%, 6%, 9%, or 13% on the services we provide and related surcharges. We are also subject to surcharges on VAT payments in accordance with PRC law.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ultimate shareholders of Atour is Cayman Islands holding company. The direct shareholder of Atour Shanghai, which is a Hong Kong enterprise, may receive dividends from Atour Shanghai.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promulgated the Administrative Measures for Nonresident Taxpayers to Enjoy Treatment under Tax Treaties,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Atour Hong Kong may be able to benefit from the 5% withholding tax rate for the dividends it receives from its PRC subsidiaries, if it satisfies the conditions prescribed under SAT Circular 81 and other relevant tax rules and regulations. However, according to SAT Circular 81 and SAT Circular 35, if the relevant tax authorities consider the transactions or arrangements we have are for the primary purpose of enjoying a favorable tax treatment, the relevant tax authorities may adjust the favorable withholding tax in the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both in absolute amount and as a percentage of net revenues for the years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70"/>
        <w:gridCol w:w="326"/>
        <w:gridCol w:w="1007"/>
        <w:gridCol w:w="326"/>
        <w:gridCol w:w="575"/>
        <w:gridCol w:w="326"/>
        <w:gridCol w:w="1007"/>
        <w:gridCol w:w="326"/>
        <w:gridCol w:w="575"/>
        <w:gridCol w:w="326"/>
        <w:gridCol w:w="1007"/>
        <w:gridCol w:w="326"/>
        <w:gridCol w:w="857"/>
        <w:gridCol w:w="326"/>
        <w:gridCol w:w="625"/>
      </w:tblGrid>
      <w:tr>
        <w:trPr/>
        <w:tc>
          <w:tcPr>
            <w:tcW w:w="2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41450" cy="175260"/>
                      <wp:effectExtent l="0" t="0" r="0" b="0"/>
                      <wp:wrapNone/>
                      <wp:docPr id="134" name="Frame126"/>
                      <a:graphic xmlns:a="http://schemas.openxmlformats.org/drawingml/2006/main">
                        <a:graphicData uri="http://schemas.microsoft.com/office/word/2010/wordprocessingShape">
                          <wps:wsp>
                            <wps:cNvSpPr txBox="1"/>
                            <wps:spPr>
                              <a:xfrm>
                                <a:off x="0" y="0"/>
                                <a:ext cx="144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39445" cy="175260"/>
                      <wp:effectExtent l="0" t="0" r="0" b="0"/>
                      <wp:wrapNone/>
                      <wp:docPr id="136" name="Frame128"/>
                      <a:graphic xmlns:a="http://schemas.openxmlformats.org/drawingml/2006/main">
                        <a:graphicData uri="http://schemas.microsoft.com/office/word/2010/wordprocessingShape">
                          <wps:wsp>
                            <wps:cNvSpPr txBox="1"/>
                            <wps:spPr>
                              <a:xfrm>
                                <a:off x="0" y="0"/>
                                <a:ext cx="639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5125" cy="175260"/>
                      <wp:effectExtent l="0" t="0" r="0" b="0"/>
                      <wp:wrapNone/>
                      <wp:docPr id="138" name="Frame130"/>
                      <a:graphic xmlns:a="http://schemas.openxmlformats.org/drawingml/2006/main">
                        <a:graphicData uri="http://schemas.microsoft.com/office/word/2010/wordprocessingShape">
                          <wps:wsp>
                            <wps:cNvSpPr txBox="1"/>
                            <wps:spPr>
                              <a:xfrm>
                                <a:off x="0" y="0"/>
                                <a:ext cx="365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39445" cy="175260"/>
                      <wp:effectExtent l="0" t="0" r="0" b="0"/>
                      <wp:wrapNone/>
                      <wp:docPr id="140" name="Frame132"/>
                      <a:graphic xmlns:a="http://schemas.openxmlformats.org/drawingml/2006/main">
                        <a:graphicData uri="http://schemas.microsoft.com/office/word/2010/wordprocessingShape">
                          <wps:wsp>
                            <wps:cNvSpPr txBox="1"/>
                            <wps:spPr>
                              <a:xfrm>
                                <a:off x="0" y="0"/>
                                <a:ext cx="639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5125" cy="175260"/>
                      <wp:effectExtent l="0" t="0" r="0" b="0"/>
                      <wp:wrapNone/>
                      <wp:docPr id="142" name="Frame134"/>
                      <a:graphic xmlns:a="http://schemas.openxmlformats.org/drawingml/2006/main">
                        <a:graphicData uri="http://schemas.microsoft.com/office/word/2010/wordprocessingShape">
                          <wps:wsp>
                            <wps:cNvSpPr txBox="1"/>
                            <wps:spPr>
                              <a:xfrm>
                                <a:off x="0" y="0"/>
                                <a:ext cx="365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39445" cy="175260"/>
                      <wp:effectExtent l="0" t="0" r="0" b="0"/>
                      <wp:wrapNone/>
                      <wp:docPr id="144" name="Frame136"/>
                      <a:graphic xmlns:a="http://schemas.openxmlformats.org/drawingml/2006/main">
                        <a:graphicData uri="http://schemas.microsoft.com/office/word/2010/wordprocessingShape">
                          <wps:wsp>
                            <wps:cNvSpPr txBox="1"/>
                            <wps:spPr>
                              <a:xfrm>
                                <a:off x="0" y="0"/>
                                <a:ext cx="639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44195" cy="175260"/>
                      <wp:effectExtent l="0" t="0" r="0" b="0"/>
                      <wp:wrapNone/>
                      <wp:docPr id="146" name="Frame138"/>
                      <a:graphic xmlns:a="http://schemas.openxmlformats.org/drawingml/2006/main">
                        <a:graphicData uri="http://schemas.microsoft.com/office/word/2010/wordprocessingShape">
                          <wps:wsp>
                            <wps:cNvSpPr txBox="1"/>
                            <wps:spPr>
                              <a:xfrm>
                                <a:off x="0" y="0"/>
                                <a:ext cx="544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96875" cy="175260"/>
                      <wp:effectExtent l="0" t="0" r="0" b="0"/>
                      <wp:wrapNone/>
                      <wp:docPr id="148" name="Frame140"/>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609"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2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90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314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7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Revenues:</w:t>
            </w:r>
          </w:p>
        </w:tc>
        <w:tc>
          <w:tcPr>
            <w:tcW w:w="326" w:type="dxa"/>
            <w:tcBorders/>
            <w:shd w:fill="auto" w:val="clear"/>
            <w:vAlign w:val="center"/>
          </w:tcPr>
          <w:p>
            <w:pPr>
              <w:pStyle w:val="TableContents"/>
              <w:spacing w:before="0" w:after="0"/>
              <w:ind w:left="0" w:right="0" w:hanging="0"/>
              <w:jc w:val="center"/>
              <w:rPr/>
            </w:pPr>
            <w:r>
              <w:rPr/>
              <w:t>​</w:t>
            </w:r>
          </w:p>
        </w:tc>
        <w:tc>
          <w:tcPr>
            <w:tcW w:w="7609"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Manachised hotels</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926,307</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1,220,301</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1,360,843</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197,304</w:t>
            </w:r>
          </w:p>
        </w:tc>
        <w:tc>
          <w:tcPr>
            <w:tcW w:w="326" w:type="dxa"/>
            <w:tcBorders/>
            <w:shd w:fill="CCEEFF" w:val="clear"/>
            <w:vAlign w:val="center"/>
          </w:tcPr>
          <w:p>
            <w:pPr>
              <w:pStyle w:val="TableContents"/>
              <w:spacing w:before="0" w:after="0"/>
              <w:ind w:left="0" w:right="0" w:hanging="0"/>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hotels</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496,470</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630,238</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552,929</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80,167</w:t>
            </w:r>
          </w:p>
        </w:tc>
        <w:tc>
          <w:tcPr>
            <w:tcW w:w="326"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 revenues and others</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143,775</w:t>
            </w:r>
          </w:p>
        </w:tc>
        <w:tc>
          <w:tcPr>
            <w:tcW w:w="326" w:type="dxa"/>
            <w:tcBorders/>
            <w:shd w:fill="CCEEFF" w:val="clear"/>
            <w:vAlign w:val="center"/>
          </w:tcPr>
          <w:p>
            <w:pPr>
              <w:pStyle w:val="TableContents"/>
              <w:spacing w:before="0" w:after="0"/>
              <w:ind w:left="0" w:right="0" w:hanging="0"/>
              <w:rPr/>
            </w:pPr>
            <w:r>
              <w:rPr/>
              <w:t> </w:t>
            </w:r>
          </w:p>
        </w:tc>
        <w:tc>
          <w:tcPr>
            <w:tcW w:w="5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297,038</w:t>
            </w:r>
          </w:p>
        </w:tc>
        <w:tc>
          <w:tcPr>
            <w:tcW w:w="326" w:type="dxa"/>
            <w:tcBorders/>
            <w:shd w:fill="CCEEFF" w:val="clear"/>
            <w:vAlign w:val="center"/>
          </w:tcPr>
          <w:p>
            <w:pPr>
              <w:pStyle w:val="TableContents"/>
              <w:spacing w:before="0" w:after="0"/>
              <w:ind w:left="0" w:right="0" w:hanging="0"/>
              <w:rPr/>
            </w:pPr>
            <w:r>
              <w:rPr/>
              <w:t> </w:t>
            </w:r>
          </w:p>
        </w:tc>
        <w:tc>
          <w:tcPr>
            <w:tcW w:w="5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349,211</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50,631</w:t>
            </w:r>
          </w:p>
        </w:tc>
        <w:tc>
          <w:tcPr>
            <w:tcW w:w="326" w:type="dxa"/>
            <w:tcBorders/>
            <w:shd w:fill="CCEEFF" w:val="clear"/>
            <w:vAlign w:val="center"/>
          </w:tcPr>
          <w:p>
            <w:pPr>
              <w:pStyle w:val="TableContents"/>
              <w:spacing w:before="0" w:after="0"/>
              <w:ind w:left="0" w:right="0" w:hanging="0"/>
              <w:rPr/>
            </w:pPr>
            <w:r>
              <w:rPr/>
              <w:t> </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revenues</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1,566,552</w:t>
            </w:r>
          </w:p>
        </w:tc>
        <w:tc>
          <w:tcPr>
            <w:tcW w:w="326" w:type="dxa"/>
            <w:tcBorders/>
            <w:shd w:fill="auto" w:val="clear"/>
            <w:vAlign w:val="center"/>
          </w:tcPr>
          <w:p>
            <w:pPr>
              <w:pStyle w:val="TableContents"/>
              <w:spacing w:before="0" w:after="0"/>
              <w:ind w:left="0" w:right="0" w:hanging="0"/>
              <w:rPr/>
            </w:pPr>
            <w:r>
              <w:rPr/>
              <w:t> </w:t>
            </w:r>
          </w:p>
        </w:tc>
        <w:tc>
          <w:tcPr>
            <w:tcW w:w="57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2,147,577</w:t>
            </w:r>
          </w:p>
        </w:tc>
        <w:tc>
          <w:tcPr>
            <w:tcW w:w="326" w:type="dxa"/>
            <w:tcBorders/>
            <w:shd w:fill="auto" w:val="clear"/>
            <w:vAlign w:val="center"/>
          </w:tcPr>
          <w:p>
            <w:pPr>
              <w:pStyle w:val="TableContents"/>
              <w:spacing w:before="0" w:after="0"/>
              <w:ind w:left="0" w:right="0" w:hanging="0"/>
              <w:rPr/>
            </w:pPr>
            <w:r>
              <w:rPr/>
              <w:t> </w:t>
            </w:r>
          </w:p>
        </w:tc>
        <w:tc>
          <w:tcPr>
            <w:tcW w:w="57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2,262,983</w:t>
            </w:r>
          </w:p>
        </w:tc>
        <w:tc>
          <w:tcPr>
            <w:tcW w:w="326" w:type="dxa"/>
            <w:tcBorders/>
            <w:shd w:fill="auto" w:val="clear"/>
            <w:vAlign w:val="center"/>
          </w:tcPr>
          <w:p>
            <w:pPr>
              <w:pStyle w:val="TableContents"/>
              <w:spacing w:before="0" w:after="0"/>
              <w:ind w:left="0" w:right="0" w:hanging="0"/>
              <w:rPr/>
            </w:pPr>
            <w:r>
              <w:rPr/>
              <w:t> </w:t>
            </w:r>
          </w:p>
        </w:tc>
        <w:tc>
          <w:tcPr>
            <w:tcW w:w="85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328,102</w:t>
            </w:r>
          </w:p>
        </w:tc>
        <w:tc>
          <w:tcPr>
            <w:tcW w:w="326" w:type="dxa"/>
            <w:tcBorders/>
            <w:shd w:fill="auto" w:val="clear"/>
            <w:vAlign w:val="center"/>
          </w:tcPr>
          <w:p>
            <w:pPr>
              <w:pStyle w:val="TableContents"/>
              <w:spacing w:before="0" w:after="0"/>
              <w:ind w:left="0" w:right="0" w:hanging="0"/>
              <w:rPr/>
            </w:pPr>
            <w:r>
              <w:rPr/>
              <w:t> </w:t>
            </w:r>
          </w:p>
        </w:tc>
        <w:tc>
          <w:tcPr>
            <w:tcW w:w="62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costs and expenses:</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25" w:type="dxa"/>
            <w:tcBorders/>
            <w:shd w:fill="CCEEFF" w:val="clear"/>
            <w:vAlign w:val="center"/>
          </w:tcPr>
          <w:p>
            <w:pPr>
              <w:pStyle w:val="TableContents"/>
              <w:spacing w:before="0" w:after="0"/>
              <w:ind w:left="0" w:right="0" w:hanging="0"/>
              <w:jc w:val="right"/>
              <w:rPr/>
            </w:pPr>
            <w:r>
              <w:rPr/>
              <w:t>  </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Hotel operating costs</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(1,150,101)</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(1,419,578)</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(1,393,312)</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(202,011)</w:t>
            </w:r>
          </w:p>
        </w:tc>
        <w:tc>
          <w:tcPr>
            <w:tcW w:w="326"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costs</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(78,746)</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(163,324)</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(186,685)</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(27,068)</w:t>
            </w:r>
          </w:p>
        </w:tc>
        <w:tc>
          <w:tcPr>
            <w:tcW w:w="326" w:type="dxa"/>
            <w:tcBorders/>
            <w:shd w:fill="CCEEFF" w:val="clear"/>
            <w:vAlign w:val="center"/>
          </w:tcPr>
          <w:p>
            <w:pPr>
              <w:pStyle w:val="TableContents"/>
              <w:spacing w:before="0" w:after="0"/>
              <w:ind w:left="0" w:right="0" w:hanging="0"/>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(70,972)</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(124,210)</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(139,929)</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(20,288)</w:t>
            </w:r>
          </w:p>
        </w:tc>
        <w:tc>
          <w:tcPr>
            <w:tcW w:w="326"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(131,366)</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(197,064)</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(350,009)</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(50,746)</w:t>
            </w:r>
          </w:p>
        </w:tc>
        <w:tc>
          <w:tcPr>
            <w:tcW w:w="326" w:type="dxa"/>
            <w:tcBorders/>
            <w:shd w:fill="CCEEFF" w:val="clear"/>
            <w:vAlign w:val="center"/>
          </w:tcPr>
          <w:p>
            <w:pPr>
              <w:pStyle w:val="TableContents"/>
              <w:spacing w:before="0" w:after="0"/>
              <w:ind w:left="0" w:right="0" w:hanging="0"/>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 and development expense</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(33,649)</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(52,121)</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(66,182)</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(9,594)</w:t>
            </w:r>
          </w:p>
        </w:tc>
        <w:tc>
          <w:tcPr>
            <w:tcW w:w="326"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Pre-opening expense</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(61,878)</w:t>
            </w:r>
          </w:p>
        </w:tc>
        <w:tc>
          <w:tcPr>
            <w:tcW w:w="326" w:type="dxa"/>
            <w:tcBorders/>
            <w:shd w:fill="CCEEFF" w:val="clear"/>
            <w:vAlign w:val="center"/>
          </w:tcPr>
          <w:p>
            <w:pPr>
              <w:pStyle w:val="TableContents"/>
              <w:spacing w:before="0" w:after="0"/>
              <w:ind w:left="0" w:right="0" w:hanging="0"/>
              <w:rPr/>
            </w:pPr>
            <w:r>
              <w:rPr/>
              <w:t> </w:t>
            </w:r>
          </w:p>
        </w:tc>
        <w:tc>
          <w:tcPr>
            <w:tcW w:w="5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(17,595)</w:t>
            </w:r>
          </w:p>
        </w:tc>
        <w:tc>
          <w:tcPr>
            <w:tcW w:w="326" w:type="dxa"/>
            <w:tcBorders/>
            <w:shd w:fill="CCEEFF" w:val="clear"/>
            <w:vAlign w:val="center"/>
          </w:tcPr>
          <w:p>
            <w:pPr>
              <w:pStyle w:val="TableContents"/>
              <w:spacing w:before="0" w:after="0"/>
              <w:ind w:left="0" w:right="0" w:hanging="0"/>
              <w:rPr/>
            </w:pPr>
            <w:r>
              <w:rPr/>
              <w:t> </w:t>
            </w:r>
          </w:p>
        </w:tc>
        <w:tc>
          <w:tcPr>
            <w:tcW w:w="5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operating costs and expenses</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(1,526,712)</w:t>
            </w:r>
          </w:p>
        </w:tc>
        <w:tc>
          <w:tcPr>
            <w:tcW w:w="326" w:type="dxa"/>
            <w:tcBorders/>
            <w:shd w:fill="auto" w:val="clear"/>
            <w:vAlign w:val="center"/>
          </w:tcPr>
          <w:p>
            <w:pPr>
              <w:pStyle w:val="TableContents"/>
              <w:spacing w:before="0" w:after="0"/>
              <w:ind w:left="0" w:right="0" w:hanging="0"/>
              <w:rPr/>
            </w:pPr>
            <w:r>
              <w:rPr/>
              <w:t> </w:t>
            </w:r>
          </w:p>
        </w:tc>
        <w:tc>
          <w:tcPr>
            <w:tcW w:w="57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(1,973,892)</w:t>
            </w:r>
          </w:p>
        </w:tc>
        <w:tc>
          <w:tcPr>
            <w:tcW w:w="326" w:type="dxa"/>
            <w:tcBorders/>
            <w:shd w:fill="auto" w:val="clear"/>
            <w:vAlign w:val="center"/>
          </w:tcPr>
          <w:p>
            <w:pPr>
              <w:pStyle w:val="TableContents"/>
              <w:spacing w:before="0" w:after="0"/>
              <w:ind w:left="0" w:right="0" w:hanging="0"/>
              <w:rPr/>
            </w:pPr>
            <w:r>
              <w:rPr/>
              <w:t> </w:t>
            </w:r>
          </w:p>
        </w:tc>
        <w:tc>
          <w:tcPr>
            <w:tcW w:w="57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(2,136,117)</w:t>
            </w:r>
          </w:p>
        </w:tc>
        <w:tc>
          <w:tcPr>
            <w:tcW w:w="326" w:type="dxa"/>
            <w:tcBorders/>
            <w:shd w:fill="auto" w:val="clear"/>
            <w:vAlign w:val="center"/>
          </w:tcPr>
          <w:p>
            <w:pPr>
              <w:pStyle w:val="TableContents"/>
              <w:spacing w:before="0" w:after="0"/>
              <w:ind w:left="0" w:right="0" w:hanging="0"/>
              <w:rPr/>
            </w:pPr>
            <w:r>
              <w:rPr/>
              <w:t> </w:t>
            </w:r>
          </w:p>
        </w:tc>
        <w:tc>
          <w:tcPr>
            <w:tcW w:w="85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(309,707)</w:t>
            </w:r>
          </w:p>
        </w:tc>
        <w:tc>
          <w:tcPr>
            <w:tcW w:w="326" w:type="dxa"/>
            <w:tcBorders/>
            <w:shd w:fill="auto" w:val="clear"/>
            <w:vAlign w:val="center"/>
          </w:tcPr>
          <w:p>
            <w:pPr>
              <w:pStyle w:val="TableContents"/>
              <w:spacing w:before="0" w:after="0"/>
              <w:ind w:left="0" w:right="0" w:hanging="0"/>
              <w:rPr/>
            </w:pPr>
            <w:r>
              <w:rPr/>
              <w:t> </w:t>
            </w:r>
          </w:p>
        </w:tc>
        <w:tc>
          <w:tcPr>
            <w:tcW w:w="62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income</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23,429</w:t>
            </w:r>
          </w:p>
        </w:tc>
        <w:tc>
          <w:tcPr>
            <w:tcW w:w="326" w:type="dxa"/>
            <w:tcBorders/>
            <w:shd w:fill="CCEEFF" w:val="clear"/>
            <w:vAlign w:val="center"/>
          </w:tcPr>
          <w:p>
            <w:pPr>
              <w:pStyle w:val="TableContents"/>
              <w:spacing w:before="0" w:after="0"/>
              <w:ind w:left="0" w:right="0" w:hanging="0"/>
              <w:rPr/>
            </w:pPr>
            <w:r>
              <w:rPr/>
              <w:t> </w:t>
            </w:r>
          </w:p>
        </w:tc>
        <w:tc>
          <w:tcPr>
            <w:tcW w:w="5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22,371</w:t>
            </w:r>
          </w:p>
        </w:tc>
        <w:tc>
          <w:tcPr>
            <w:tcW w:w="326" w:type="dxa"/>
            <w:tcBorders/>
            <w:shd w:fill="CCEEFF" w:val="clear"/>
            <w:vAlign w:val="center"/>
          </w:tcPr>
          <w:p>
            <w:pPr>
              <w:pStyle w:val="TableContents"/>
              <w:spacing w:before="0" w:after="0"/>
              <w:ind w:left="0" w:right="0" w:hanging="0"/>
              <w:rPr/>
            </w:pPr>
            <w:r>
              <w:rPr/>
              <w:t> </w:t>
            </w:r>
          </w:p>
        </w:tc>
        <w:tc>
          <w:tcPr>
            <w:tcW w:w="57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38,094</w:t>
            </w:r>
          </w:p>
        </w:tc>
        <w:tc>
          <w:tcPr>
            <w:tcW w:w="326" w:type="dxa"/>
            <w:tcBorders/>
            <w:shd w:fill="CCEEFF" w:val="clear"/>
            <w:vAlign w:val="center"/>
          </w:tcPr>
          <w:p>
            <w:pPr>
              <w:pStyle w:val="TableContents"/>
              <w:spacing w:before="0" w:after="0"/>
              <w:ind w:left="0" w:right="0" w:hanging="0"/>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5,523</w:t>
            </w:r>
          </w:p>
        </w:tc>
        <w:tc>
          <w:tcPr>
            <w:tcW w:w="326" w:type="dxa"/>
            <w:tcBorders/>
            <w:shd w:fill="CCEEFF" w:val="clear"/>
            <w:vAlign w:val="center"/>
          </w:tcPr>
          <w:p>
            <w:pPr>
              <w:pStyle w:val="TableContents"/>
              <w:spacing w:before="0" w:after="0"/>
              <w:ind w:left="0" w:right="0" w:hanging="0"/>
              <w:rPr/>
            </w:pPr>
            <w:r>
              <w:rPr/>
              <w:t> </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from operation</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63,269</w:t>
            </w:r>
          </w:p>
        </w:tc>
        <w:tc>
          <w:tcPr>
            <w:tcW w:w="326" w:type="dxa"/>
            <w:tcBorders/>
            <w:shd w:fill="auto" w:val="clear"/>
            <w:vAlign w:val="center"/>
          </w:tcPr>
          <w:p>
            <w:pPr>
              <w:pStyle w:val="TableContents"/>
              <w:spacing w:before="0" w:after="0"/>
              <w:ind w:left="0" w:right="0" w:hanging="0"/>
              <w:rPr/>
            </w:pPr>
            <w:r>
              <w:rPr/>
              <w:t> </w:t>
            </w:r>
          </w:p>
        </w:tc>
        <w:tc>
          <w:tcPr>
            <w:tcW w:w="57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196,056</w:t>
            </w:r>
          </w:p>
        </w:tc>
        <w:tc>
          <w:tcPr>
            <w:tcW w:w="326" w:type="dxa"/>
            <w:tcBorders/>
            <w:shd w:fill="auto" w:val="clear"/>
            <w:vAlign w:val="center"/>
          </w:tcPr>
          <w:p>
            <w:pPr>
              <w:pStyle w:val="TableContents"/>
              <w:spacing w:before="0" w:after="0"/>
              <w:ind w:left="0" w:right="0" w:hanging="0"/>
              <w:rPr/>
            </w:pPr>
            <w:r>
              <w:rPr/>
              <w:t> </w:t>
            </w:r>
          </w:p>
        </w:tc>
        <w:tc>
          <w:tcPr>
            <w:tcW w:w="57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0"/>
              <w:ind w:left="0" w:right="0" w:hanging="0"/>
              <w:rPr/>
            </w:pPr>
            <w:r>
              <w:rPr/>
              <w:t> </w:t>
            </w:r>
          </w:p>
        </w:tc>
        <w:tc>
          <w:tcPr>
            <w:tcW w:w="100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164,960</w:t>
            </w:r>
          </w:p>
        </w:tc>
        <w:tc>
          <w:tcPr>
            <w:tcW w:w="326" w:type="dxa"/>
            <w:tcBorders/>
            <w:shd w:fill="auto" w:val="clear"/>
            <w:vAlign w:val="center"/>
          </w:tcPr>
          <w:p>
            <w:pPr>
              <w:pStyle w:val="TableContents"/>
              <w:spacing w:before="0" w:after="0"/>
              <w:ind w:left="0" w:right="0" w:hanging="0"/>
              <w:rPr/>
            </w:pPr>
            <w:r>
              <w:rPr/>
              <w:t> </w:t>
            </w:r>
          </w:p>
        </w:tc>
        <w:tc>
          <w:tcPr>
            <w:tcW w:w="85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23,918</w:t>
            </w:r>
          </w:p>
        </w:tc>
        <w:tc>
          <w:tcPr>
            <w:tcW w:w="326" w:type="dxa"/>
            <w:tcBorders/>
            <w:shd w:fill="auto" w:val="clear"/>
            <w:vAlign w:val="center"/>
          </w:tcPr>
          <w:p>
            <w:pPr>
              <w:pStyle w:val="TableContents"/>
              <w:spacing w:before="0" w:after="0"/>
              <w:ind w:left="0" w:right="0" w:hanging="0"/>
              <w:rPr/>
            </w:pPr>
            <w:r>
              <w:rPr/>
              <w:t> </w:t>
            </w:r>
          </w:p>
        </w:tc>
        <w:tc>
          <w:tcPr>
            <w:tcW w:w="625"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7.3</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14,456</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2,097</w:t>
            </w:r>
          </w:p>
        </w:tc>
        <w:tc>
          <w:tcPr>
            <w:tcW w:w="326" w:type="dxa"/>
            <w:tcBorders/>
            <w:shd w:fill="CCEEFF" w:val="clear"/>
            <w:vAlign w:val="center"/>
          </w:tcPr>
          <w:p>
            <w:pPr>
              <w:pStyle w:val="TableContents"/>
              <w:spacing w:before="0" w:after="0"/>
              <w:ind w:left="0" w:right="0" w:hanging="0"/>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from short-term investment</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11,046</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8,745</w:t>
            </w:r>
          </w:p>
        </w:tc>
        <w:tc>
          <w:tcPr>
            <w:tcW w:w="326" w:type="dxa"/>
            <w:tcBorders/>
            <w:shd w:fill="auto" w:val="clear"/>
            <w:vAlign w:val="center"/>
          </w:tcPr>
          <w:p>
            <w:pPr>
              <w:pStyle w:val="TableContents"/>
              <w:spacing w:before="0" w:after="0"/>
              <w:ind w:left="0" w:right="0" w:hanging="0"/>
              <w:rPr/>
            </w:pPr>
            <w:r>
              <w:rPr/>
              <w:t> </w:t>
            </w:r>
          </w:p>
        </w:tc>
        <w:tc>
          <w:tcPr>
            <w:tcW w:w="5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0"/>
              <w:ind w:left="0" w:right="0" w:hanging="0"/>
              <w:rPr/>
            </w:pPr>
            <w:r>
              <w:rPr/>
              <w:t> </w:t>
            </w:r>
          </w:p>
        </w:tc>
        <w:tc>
          <w:tcPr>
            <w:tcW w:w="10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326" w:type="dxa"/>
            <w:tcBorders/>
            <w:shd w:fill="auto" w:val="clear"/>
            <w:vAlign w:val="center"/>
          </w:tcPr>
          <w:p>
            <w:pPr>
              <w:pStyle w:val="TableContents"/>
              <w:spacing w:before="0" w:after="0"/>
              <w:ind w:left="0" w:right="0" w:hanging="0"/>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26"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expenses</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(7,937)</w:t>
            </w:r>
          </w:p>
        </w:tc>
        <w:tc>
          <w:tcPr>
            <w:tcW w:w="326" w:type="dxa"/>
            <w:tcBorders/>
            <w:shd w:fill="CCEEFF" w:val="clear"/>
            <w:vAlign w:val="center"/>
          </w:tcPr>
          <w:p>
            <w:pPr>
              <w:pStyle w:val="TableContents"/>
              <w:spacing w:before="0" w:after="0"/>
              <w:ind w:left="0" w:right="0" w:hanging="0"/>
              <w:rPr/>
            </w:pPr>
            <w:r>
              <w:rPr/>
              <w:t> </w:t>
            </w:r>
          </w:p>
        </w:tc>
        <w:tc>
          <w:tcPr>
            <w:tcW w:w="5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0"/>
              <w:ind w:left="0" w:right="0" w:hanging="0"/>
              <w:rPr/>
            </w:pPr>
            <w:r>
              <w:rPr/>
              <w:t> </w:t>
            </w:r>
          </w:p>
        </w:tc>
        <w:tc>
          <w:tcPr>
            <w:tcW w:w="10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(6,501)</w:t>
            </w:r>
          </w:p>
        </w:tc>
        <w:tc>
          <w:tcPr>
            <w:tcW w:w="326" w:type="dxa"/>
            <w:tcBorders/>
            <w:shd w:fill="CCEEFF" w:val="clear"/>
            <w:vAlign w:val="center"/>
          </w:tcPr>
          <w:p>
            <w:pPr>
              <w:pStyle w:val="TableContents"/>
              <w:spacing w:before="0" w:after="0"/>
              <w:ind w:left="0" w:right="0" w:hanging="0"/>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26" w:type="dxa"/>
            <w:tcBorders/>
            <w:shd w:fill="CCEEFF" w:val="clear"/>
            <w:vAlign w:val="center"/>
          </w:tcPr>
          <w:p>
            <w:pPr>
              <w:pStyle w:val="TableContents"/>
              <w:spacing w:before="0" w:after="0"/>
              <w:ind w:left="0" w:right="0" w:hanging="0"/>
              <w:rPr/>
            </w:pPr>
            <w:r>
              <w:rPr/>
              <w:t> </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(loss), net</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326" w:type="dxa"/>
            <w:tcBorders/>
            <w:shd w:fill="auto" w:val="cle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shd w:fill="auto" w:val="cle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auto" w:val="clear"/>
            <w:vAlign w:val="center"/>
          </w:tcPr>
          <w:p>
            <w:pPr>
              <w:pStyle w:val="TableContents"/>
              <w:spacing w:before="0" w:after="0"/>
              <w:ind w:left="0" w:right="0" w:hanging="0"/>
              <w:rPr/>
            </w:pPr>
            <w:r>
              <w:rPr/>
              <w:t> </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before income tax</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75,424</w:t>
            </w:r>
          </w:p>
        </w:tc>
        <w:tc>
          <w:tcPr>
            <w:tcW w:w="326" w:type="dxa"/>
            <w:tcBorders/>
            <w:shd w:fill="CCEEFF" w:val="clear"/>
            <w:vAlign w:val="center"/>
          </w:tcPr>
          <w:p>
            <w:pPr>
              <w:pStyle w:val="TableContents"/>
              <w:spacing w:before="0" w:after="0"/>
              <w:ind w:left="0" w:right="0" w:hanging="0"/>
              <w:rPr/>
            </w:pPr>
            <w:r>
              <w:rPr/>
              <w:t> </w:t>
            </w:r>
          </w:p>
        </w:tc>
        <w:tc>
          <w:tcPr>
            <w:tcW w:w="57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203,887</w:t>
            </w:r>
          </w:p>
        </w:tc>
        <w:tc>
          <w:tcPr>
            <w:tcW w:w="326" w:type="dxa"/>
            <w:tcBorders/>
            <w:shd w:fill="CCEEFF" w:val="clear"/>
            <w:vAlign w:val="center"/>
          </w:tcPr>
          <w:p>
            <w:pPr>
              <w:pStyle w:val="TableContents"/>
              <w:spacing w:before="0" w:after="0"/>
              <w:ind w:left="0" w:right="0" w:hanging="0"/>
              <w:rPr/>
            </w:pPr>
            <w:r>
              <w:rPr/>
              <w:t> </w:t>
            </w:r>
          </w:p>
        </w:tc>
        <w:tc>
          <w:tcPr>
            <w:tcW w:w="57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180,556</w:t>
            </w:r>
          </w:p>
        </w:tc>
        <w:tc>
          <w:tcPr>
            <w:tcW w:w="326" w:type="dxa"/>
            <w:tcBorders/>
            <w:shd w:fill="CCEEFF" w:val="clear"/>
            <w:vAlign w:val="center"/>
          </w:tcPr>
          <w:p>
            <w:pPr>
              <w:pStyle w:val="TableContents"/>
              <w:spacing w:before="0" w:after="0"/>
              <w:ind w:left="0" w:right="0" w:hanging="0"/>
              <w:rPr/>
            </w:pPr>
            <w:r>
              <w:rPr/>
              <w:t> </w:t>
            </w:r>
          </w:p>
        </w:tc>
        <w:tc>
          <w:tcPr>
            <w:tcW w:w="85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26,180</w:t>
            </w:r>
          </w:p>
        </w:tc>
        <w:tc>
          <w:tcPr>
            <w:tcW w:w="326" w:type="dxa"/>
            <w:tcBorders/>
            <w:shd w:fill="CCEEFF" w:val="clear"/>
            <w:vAlign w:val="center"/>
          </w:tcPr>
          <w:p>
            <w:pPr>
              <w:pStyle w:val="TableContents"/>
              <w:spacing w:before="0" w:after="0"/>
              <w:ind w:left="0" w:right="0" w:hanging="0"/>
              <w:rPr/>
            </w:pPr>
            <w:r>
              <w:rPr/>
              <w:t> </w:t>
            </w:r>
          </w:p>
        </w:tc>
        <w:tc>
          <w:tcPr>
            <w:tcW w:w="62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(37,602)</w:t>
            </w:r>
          </w:p>
        </w:tc>
        <w:tc>
          <w:tcPr>
            <w:tcW w:w="326" w:type="dxa"/>
            <w:tcBorders/>
            <w:shd w:fill="auto" w:val="cle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(64,217)</w:t>
            </w:r>
          </w:p>
        </w:tc>
        <w:tc>
          <w:tcPr>
            <w:tcW w:w="326" w:type="dxa"/>
            <w:tcBorders/>
            <w:shd w:fill="auto" w:val="cle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(84,474)</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(12,248)</w:t>
            </w:r>
          </w:p>
        </w:tc>
        <w:tc>
          <w:tcPr>
            <w:tcW w:w="326" w:type="dxa"/>
            <w:tcBorders/>
            <w:shd w:fill="auto" w:val="clear"/>
            <w:vAlign w:val="center"/>
          </w:tcPr>
          <w:p>
            <w:pPr>
              <w:pStyle w:val="TableContents"/>
              <w:spacing w:before="0" w:after="0"/>
              <w:ind w:left="0" w:right="0" w:hanging="0"/>
              <w:rPr/>
            </w:pPr>
            <w:r>
              <w:rPr/>
              <w:t> </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37,822</w:t>
            </w:r>
          </w:p>
        </w:tc>
        <w:tc>
          <w:tcPr>
            <w:tcW w:w="326" w:type="dxa"/>
            <w:tcBorders/>
            <w:shd w:fill="CCEEFF" w:val="clear"/>
            <w:vAlign w:val="center"/>
          </w:tcPr>
          <w:p>
            <w:pPr>
              <w:pStyle w:val="TableContents"/>
              <w:spacing w:before="0" w:after="0"/>
              <w:ind w:left="0" w:right="0" w:hanging="0"/>
              <w:rPr/>
            </w:pPr>
            <w:r>
              <w:rPr/>
              <w:t> </w:t>
            </w:r>
          </w:p>
        </w:tc>
        <w:tc>
          <w:tcPr>
            <w:tcW w:w="57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139,670</w:t>
            </w:r>
          </w:p>
        </w:tc>
        <w:tc>
          <w:tcPr>
            <w:tcW w:w="326" w:type="dxa"/>
            <w:tcBorders/>
            <w:shd w:fill="CCEEFF" w:val="clear"/>
            <w:vAlign w:val="center"/>
          </w:tcPr>
          <w:p>
            <w:pPr>
              <w:pStyle w:val="TableContents"/>
              <w:spacing w:before="0" w:after="0"/>
              <w:ind w:left="0" w:right="0" w:hanging="0"/>
              <w:rPr/>
            </w:pPr>
            <w:r>
              <w:rPr/>
              <w:t> </w:t>
            </w:r>
          </w:p>
        </w:tc>
        <w:tc>
          <w:tcPr>
            <w:tcW w:w="57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96,082</w:t>
            </w:r>
          </w:p>
        </w:tc>
        <w:tc>
          <w:tcPr>
            <w:tcW w:w="326" w:type="dxa"/>
            <w:tcBorders/>
            <w:shd w:fill="CCEEFF" w:val="clear"/>
            <w:vAlign w:val="center"/>
          </w:tcPr>
          <w:p>
            <w:pPr>
              <w:pStyle w:val="TableContents"/>
              <w:spacing w:before="0" w:after="0"/>
              <w:ind w:left="0" w:right="0" w:hanging="0"/>
              <w:rPr/>
            </w:pPr>
            <w:r>
              <w:rPr/>
              <w:t> </w:t>
            </w:r>
          </w:p>
        </w:tc>
        <w:tc>
          <w:tcPr>
            <w:tcW w:w="857"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13,932</w:t>
            </w:r>
          </w:p>
        </w:tc>
        <w:tc>
          <w:tcPr>
            <w:tcW w:w="326" w:type="dxa"/>
            <w:tcBorders/>
            <w:shd w:fill="CCEEFF" w:val="clear"/>
            <w:vAlign w:val="center"/>
          </w:tcPr>
          <w:p>
            <w:pPr>
              <w:pStyle w:val="TableContents"/>
              <w:spacing w:before="0" w:after="0"/>
              <w:ind w:left="0" w:right="0" w:hanging="0"/>
              <w:rPr/>
            </w:pPr>
            <w:r>
              <w:rPr/>
              <w:t> </w:t>
            </w:r>
          </w:p>
        </w:tc>
        <w:tc>
          <w:tcPr>
            <w:tcW w:w="625"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2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(4,229)</w:t>
            </w:r>
          </w:p>
        </w:tc>
        <w:tc>
          <w:tcPr>
            <w:tcW w:w="326" w:type="dxa"/>
            <w:tcBorders/>
            <w:shd w:fill="auto" w:val="cle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(5,384)</w:t>
            </w:r>
          </w:p>
        </w:tc>
        <w:tc>
          <w:tcPr>
            <w:tcW w:w="326" w:type="dxa"/>
            <w:tcBorders/>
            <w:shd w:fill="auto" w:val="clear"/>
            <w:vAlign w:val="center"/>
          </w:tcPr>
          <w:p>
            <w:pPr>
              <w:pStyle w:val="TableContents"/>
              <w:spacing w:before="0" w:after="0"/>
              <w:ind w:left="0" w:right="0" w:hanging="0"/>
              <w:rPr/>
            </w:pPr>
            <w:r>
              <w:rPr/>
              <w:t> </w:t>
            </w:r>
          </w:p>
        </w:tc>
        <w:tc>
          <w:tcPr>
            <w:tcW w:w="5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auto" w:val="clear"/>
            <w:vAlign w:val="center"/>
          </w:tcPr>
          <w:p>
            <w:pPr>
              <w:pStyle w:val="TableContents"/>
              <w:spacing w:before="0" w:after="0"/>
              <w:ind w:left="0" w:right="0" w:hanging="0"/>
              <w:rPr/>
            </w:pPr>
            <w:r>
              <w:rPr/>
              <w:t> </w:t>
            </w:r>
          </w:p>
        </w:tc>
        <w:tc>
          <w:tcPr>
            <w:tcW w:w="10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(2,017)</w:t>
            </w:r>
          </w:p>
        </w:tc>
        <w:tc>
          <w:tcPr>
            <w:tcW w:w="326" w:type="dxa"/>
            <w:tcBorders/>
            <w:shd w:fill="auto" w:val="clear"/>
            <w:vAlign w:val="center"/>
          </w:tcPr>
          <w:p>
            <w:pPr>
              <w:pStyle w:val="TableContents"/>
              <w:spacing w:before="0" w:after="0"/>
              <w:ind w:left="0" w:right="0" w:hanging="0"/>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auto" w:val="clear"/>
            <w:vAlign w:val="center"/>
          </w:tcPr>
          <w:p>
            <w:pPr>
              <w:pStyle w:val="TableContents"/>
              <w:spacing w:before="0" w:after="0"/>
              <w:ind w:left="0" w:right="0" w:hanging="0"/>
              <w:rPr/>
            </w:pPr>
            <w:r>
              <w:rPr/>
              <w:t> </w:t>
            </w:r>
          </w:p>
        </w:tc>
        <w:tc>
          <w:tcPr>
            <w:tcW w:w="6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27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attributable to the Company</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42,051</w:t>
            </w:r>
          </w:p>
        </w:tc>
        <w:tc>
          <w:tcPr>
            <w:tcW w:w="326" w:type="dxa"/>
            <w:tcBorders/>
            <w:shd w:fill="CCEEFF" w:val="clear"/>
            <w:vAlign w:val="center"/>
          </w:tcPr>
          <w:p>
            <w:pPr>
              <w:pStyle w:val="TableContents"/>
              <w:spacing w:before="0" w:after="0"/>
              <w:ind w:left="0" w:right="0" w:hanging="0"/>
              <w:rPr/>
            </w:pPr>
            <w:r>
              <w:rPr/>
              <w:t> </w:t>
            </w:r>
          </w:p>
        </w:tc>
        <w:tc>
          <w:tcPr>
            <w:tcW w:w="57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145,054</w:t>
            </w:r>
          </w:p>
        </w:tc>
        <w:tc>
          <w:tcPr>
            <w:tcW w:w="326" w:type="dxa"/>
            <w:tcBorders/>
            <w:shd w:fill="CCEEFF" w:val="clear"/>
            <w:vAlign w:val="center"/>
          </w:tcPr>
          <w:p>
            <w:pPr>
              <w:pStyle w:val="TableContents"/>
              <w:spacing w:before="0" w:after="0"/>
              <w:ind w:left="0" w:right="0" w:hanging="0"/>
              <w:rPr/>
            </w:pPr>
            <w:r>
              <w:rPr/>
              <w:t> </w:t>
            </w:r>
          </w:p>
        </w:tc>
        <w:tc>
          <w:tcPr>
            <w:tcW w:w="57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spacing w:before="0" w:after="0"/>
              <w:ind w:left="0" w:right="0" w:hanging="0"/>
              <w:rPr/>
            </w:pPr>
            <w:r>
              <w:rPr/>
              <w:t> </w:t>
            </w:r>
          </w:p>
        </w:tc>
        <w:tc>
          <w:tcPr>
            <w:tcW w:w="100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98,099</w:t>
            </w:r>
          </w:p>
        </w:tc>
        <w:tc>
          <w:tcPr>
            <w:tcW w:w="326" w:type="dxa"/>
            <w:tcBorders/>
            <w:shd w:fill="CCEEFF" w:val="clear"/>
            <w:vAlign w:val="center"/>
          </w:tcPr>
          <w:p>
            <w:pPr>
              <w:pStyle w:val="TableContents"/>
              <w:spacing w:before="0" w:after="0"/>
              <w:ind w:left="0" w:right="0" w:hanging="0"/>
              <w:rPr/>
            </w:pPr>
            <w:r>
              <w:rPr/>
              <w:t> </w:t>
            </w:r>
          </w:p>
        </w:tc>
        <w:tc>
          <w:tcPr>
            <w:tcW w:w="85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14,223</w:t>
            </w:r>
          </w:p>
        </w:tc>
        <w:tc>
          <w:tcPr>
            <w:tcW w:w="326" w:type="dxa"/>
            <w:tcBorders/>
            <w:shd w:fill="CCEEFF" w:val="clear"/>
            <w:vAlign w:val="center"/>
          </w:tcPr>
          <w:p>
            <w:pPr>
              <w:pStyle w:val="TableContents"/>
              <w:spacing w:before="0" w:after="0"/>
              <w:ind w:left="0" w:right="0" w:hanging="0"/>
              <w:rPr/>
            </w:pPr>
            <w:r>
              <w:rPr/>
              <w:t> </w:t>
            </w:r>
          </w:p>
        </w:tc>
        <w:tc>
          <w:tcPr>
            <w:tcW w:w="6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Year Ended December 31, 2022 Compared to Year Ended December 31,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Net revenues.</w:t>
      </w:r>
      <w:r>
        <w:rPr>
          <w:rFonts w:ascii="Times New Roman;Times;serif" w:hAnsi="Times New Roman;Times;serif"/>
          <w:sz w:val="20"/>
        </w:rPr>
        <w:t>   Our net revenues increased from RMB2,147.6 million in 2021 to RMB2,263.0 million (US$328.1 million) in 2022, driven by the increase in the revenues from our manachised hotels and retail revenues and others.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Manachised hotels.</w:t>
            </w:r>
            <w:r>
              <w:rPr>
                <w:rFonts w:ascii="Times New Roman;Times;serif" w:hAnsi="Times New Roman;Times;serif"/>
                <w:sz w:val="20"/>
              </w:rPr>
              <w:t>   Revenues from our manachised hotels increased by 11.5% from RMB1,220.3 million in 2021 to RMB1,360.8 million (US$197.3 million) in 2022. The increase was primarily driven by the continued expansion of our hotel network, offset by the decrease of ADR due to the impact of the COVID-19 pandemic. The total number of our manachised hotels increased from 712 as of December 31,2021 to 899 as of December 31,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Leased hotels.</w:t>
            </w:r>
            <w:r>
              <w:rPr>
                <w:rFonts w:ascii="Times New Roman;Times;serif" w:hAnsi="Times New Roman;Times;serif"/>
                <w:sz w:val="20"/>
              </w:rPr>
              <w:t>   Revenues from our leased hotels decreased by 12.3% from RMB630.2 million in 2021 to RMB552.9 million (US$80.2 million) in 2022. The decrease was primarily due to decreased customer traffic and weakened consumption demand amid the resurgence of COVID-19 across China in 2022. The occupancy rate of our leased hotels decreased from 70.8% in 2021 to 65.8% in 2022, and ADR of these hotels decreased from RMB517.0 in 2021 to RMB465.0 in 2022. The number of leased hotels remained stable at 33 as of December 31, 2021 and 2022, with an increased number of room nights.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Retail revenues and others.</w:t>
            </w:r>
            <w:r>
              <w:rPr>
                <w:rFonts w:ascii="Times New Roman;Times;serif" w:hAnsi="Times New Roman;Times;serif"/>
                <w:sz w:val="20"/>
              </w:rPr>
              <w:t>   Our retail revenues and other revenues increased by 17.6% from RMB297.0 million in 2021 to RMB349.2 million (US$50.6 million) in 2022. The increase was primarily attributable to the rapid growth of our scenario-based retail business, driven by our hotel network expansion as well as growing recognition of our retail brand and our increasing capabilities in private label product offerings.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Our operating costs and expenses increased by 8.2% from RMB1,973.9 million in 2021 to RMB2,136.1 million (US$309.7 million) in 2022.</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Hotel operating costs</w:t>
            </w:r>
            <w:r>
              <w:rPr>
                <w:rFonts w:ascii="Times New Roman;Times;serif" w:hAnsi="Times New Roman;Times;serif"/>
                <w:sz w:val="20"/>
              </w:rPr>
              <w:t>.   Our hotel operating costs decreased by 1.9% from RMB1,419.6 million in 2021 to RMB1,393.3 million (US$202.0 million) in 2022. This decrease was mainly attributable to our effective control of both expenses and labor costs, as well as the lease concessions we received from landlords amid the COVID-19 pandemic. Our hotel operating costs as a percentage of net revenues decreased from 66.1% in 2021 to 61.6% in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Other operating costs</w:t>
            </w:r>
            <w:r>
              <w:rPr>
                <w:rFonts w:ascii="Times New Roman;Times;serif" w:hAnsi="Times New Roman;Times;serif"/>
                <w:sz w:val="20"/>
              </w:rPr>
              <w:t>.   Our other operating costs primarily consist of costs for our scenario-based retail business and cost of other revenues. Our other operating costs increased by 14.3% from RMB163.3 million in 2021 to RMB186.7 million (US$27.1 million) in 2022, primarily driven by increased costs alongside the rapid growth of our scenario-based retail business. Our other operating costs as a percentage of net revenues increased from 7.6% in 2021 to 8.2% in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Our selling and marketing expenses increased by 12.7% from RMB124.2 million in 2021 to RMB139.9 million (US$20.3 million) in 2022. This increase was mainly driven by our increased investment in brand promotion and channel development for our scenario-based retail business. Our selling and marketing expenses as a percentage of net revenues increased from 5.8% in 2021 to 6.2% in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increased by 77.6% from RMB197.1 million in 2021 to RMB350.0 million (US$50.7 million) in 2022. Our general and administrative expenses as a percentage of net revenues increased from 9.2% in 2021 to 15.5% in 2022. Excluding the impact from share-based compensation expenses of RMB160.5 million, general and administrative expenses, in the absolute amount, slightly decreased by 3.8% to RMB189.5 million (US$27.5 million) in 2022, and, as a percentage of net revenues, decreased from 9.2% in 2021 to 8.4% in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Technology and development expenses.</w:t>
            </w:r>
            <w:r>
              <w:rPr>
                <w:rFonts w:ascii="Times New Roman;Times;serif" w:hAnsi="Times New Roman;Times;serif"/>
                <w:sz w:val="20"/>
              </w:rPr>
              <w:t>   Our technology and development expenses increased by 27.0% from RMB52.1 million in 2021 to RMB66.2 million (US$9.6 million) in 2022. This increase was mainly attributable to our increased investments in technology systems and infrastructure to support our expanding hotel network and improve customer experience. Our technology and development expenses as a percentage of net revenues increased from 2.4% in 2021 to 2.9% in 2022.</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i/>
                <w:sz w:val="20"/>
              </w:rPr>
              <w:t>Pre-opening expenses.</w:t>
            </w:r>
            <w:r>
              <w:rPr>
                <w:rFonts w:ascii="Times New Roman;Times;serif" w:hAnsi="Times New Roman;Times;serif"/>
                <w:sz w:val="20"/>
              </w:rPr>
              <w:t>   We did not incur any pre-opening expenses in 2022 as there were no newly-leased hotels on our opening schedule.</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Other operating income.</w:t>
      </w:r>
      <w:r>
        <w:rPr>
          <w:rFonts w:ascii="Times New Roman;Times;serif" w:hAnsi="Times New Roman;Times;serif"/>
          <w:sz w:val="20"/>
        </w:rPr>
        <w:t>   Our other operating income primarily consists of income from government subsidies and value-added tax related benefits. Our other operating income increased by 70.3% from RMB22.4 million in 2021 to RMB38.1 million (US$5.5 million) in 2022, primarily due to increased government subsides received by us during this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Income from operation.</w:t>
      </w:r>
      <w:r>
        <w:rPr>
          <w:rFonts w:ascii="Times New Roman;Times;serif" w:hAnsi="Times New Roman;Times;serif"/>
          <w:sz w:val="20"/>
        </w:rPr>
        <w:t>   As a result of the foregoing, we had income from operation of RMB196.1 million and RMB165.0 million (US$23.9 million) in 2021 and 2022,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Our interest income consists primarily of interest from our bank deposits. Our interest income increased from RMB6.7 million in 2021 to RMB14.5 million (US$2.1 million) in 2022 due to our increased bank deposits.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Gain from short-term investments.</w:t>
      </w:r>
      <w:r>
        <w:rPr>
          <w:rFonts w:ascii="Times New Roman;Times;serif" w:hAnsi="Times New Roman;Times;serif"/>
          <w:sz w:val="20"/>
        </w:rPr>
        <w:t>   Our gain from short-term investments remained relatively stable at RMB8.7 million and RMB8.5 million (US$1.2 million) in 2021 and 2022,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Interest expenses.</w:t>
      </w:r>
      <w:r>
        <w:rPr>
          <w:rFonts w:ascii="Times New Roman;Times;serif" w:hAnsi="Times New Roman;Times;serif"/>
          <w:sz w:val="20"/>
        </w:rPr>
        <w:t>   Our interest expenses consist primarily of interests related to our borrowings. Our interest expenses were RMB7.9 million and RMB6.5 million (US$0.9 million) in 2021 and 2022, respectively, representing a decrease by 18.1%. Such decrease is primarily due to a decrease in our short-term borrowings.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We had an income tax expense of RMB64.2 million in 2021 and an income tax expense of RMB84.5 million (US$12.2 million) in 2022. The actual income tax expense differed from the amount computed by applying the PRC statutory income tax rate of 25% to income (loss) before income taxes, which was primarily due to the valuation allowance provided for the deferred tax assets of certain PRC subsidiaries, which were in cumulative loss positions.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As a result of the foregoing, compared to net income of RMB139.7 million in 2021, we had net income of RMB96.1 million (US$13.9 million) in 2022. For 2022, adjusted net income (non-GAAP) was RMB259.3 million (US$37.6 million), an increase of 85.6% year-over-year compared with RMB139.7 million for 2021.</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Year Ended December 31, 2021 Compared to Year Ended December 31, 2020</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See “Management's Discussion and Analysis of Financial Condition and Results of Operations—Year Ended December 31, 2021 Compared to Year Ended December 31, 2020” beginning on page 106 of our prospectus filed with the Securities and Exchange Commission on November 10, 2022 pursuant to Rule 424(b)(4) under the Securities Act (Securities Act File No. 333- 256881) incorporated by reference into this annual report.</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Non-GAAP Financial Measures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To supplement our audited consolidated financial results presented in accordance with U.S. Generally-Accepted Accounting Principles (“GAAP”), we use the following non-GAAP financial measures: adjusted net income/(loss), which is defined as net income/(loss) excluding share-based compensation expenses; EBITDA, which is defined as earnings before interest expenses, interest income, income tax expense and depreciation and amortization; and adjusted EBITDA, which is defined as EBITDA excluding share-based compensation expenses. The presentation of these non-GAAP financial measures is not intended to be considered in isolation or as a substitute for the financial information prepared and presented in accordance with U.S. GAAP.</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believe that EBITDA is widely used by other companies in the hospitality industry and may be used by investors as a measure of the financial performance. Given the significant investments that we have made in leasehold improvements and other fixed assets of leased hotels, depreciation and amortization expense comprises a significant portion of our cost structure. We believe that EBITDA will provide investors with a useful tool for comparability between periods because it eliminates depreciation and amortization expense attributable to capital expenditures. Additionally, we believe that adjusted net income/(loss) and adjusted EBITDA will provide meaningful supplemental information to investors as such measures can assist investors to better understand our performance and compare business trends since share-based compensation is non-cash in nature. We believe that both management and investors benefit from reviewing these non-GAAP financial measures in assessing our performance and when planning and forecasting future periods. These non-GAAP financial measures also facilitate management’s internal comparisons to our historical performance. We believe these non-GAAP financial measures are also useful to investors in providing greater transparency with respect to information used regularly by our management in financial and operational decision-making.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use of these non-GAAP financial measures has certain limitations as the excluded items have been and will be incurred and are not reflected in the presentation of these non-GAAP measures. Each of these items should also be considered in the overall evaluation of our results. We compensate for these limitations by providing reconciliations of the relevant non-GAAP financial measures to the U.S. GAAP financial measures and in its consolidated financial statements, all of which should be considered when evaluating our performance.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these measures may not be comparable to similarly titled measures utilized by other companies since such other companies may not calculate these measures in the same manner as we do.</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 reconciliation of net income which is the most directly comparable U.S. GAAP measure to adjusted net income (non-GAAP), EBITDA (non-GAAP) and adjusted EBITDA (non-GAAP), is provided below:</w:t>
      </w:r>
    </w:p>
    <w:p>
      <w:pPr>
        <w:pStyle w:val="TextBody"/>
        <w:spacing w:before="0" w:after="0"/>
        <w:ind w:left="0" w:right="0" w:firstLine="360"/>
        <w:rPr/>
      </w:pPr>
      <w:r>
        <w:rPr/>
        <w:t>​</w:t>
      </w:r>
    </w:p>
    <w:tbl>
      <w:tblPr>
        <w:tblW w:w="9304" w:type="dxa"/>
        <w:jc w:val="left"/>
        <w:tblInd w:w="0" w:type="dxa"/>
        <w:tblCellMar>
          <w:top w:w="0" w:type="dxa"/>
          <w:left w:w="0" w:type="dxa"/>
          <w:bottom w:w="0" w:type="dxa"/>
          <w:right w:w="0" w:type="dxa"/>
        </w:tblCellMar>
      </w:tblPr>
      <w:tblGrid>
        <w:gridCol w:w="4981"/>
        <w:gridCol w:w="326"/>
        <w:gridCol w:w="676"/>
        <w:gridCol w:w="326"/>
        <w:gridCol w:w="781"/>
        <w:gridCol w:w="326"/>
        <w:gridCol w:w="781"/>
        <w:gridCol w:w="326"/>
        <w:gridCol w:w="781"/>
      </w:tblGrid>
      <w:tr>
        <w:trPr/>
        <w:tc>
          <w:tcPr>
            <w:tcW w:w="4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162935" cy="175260"/>
                      <wp:effectExtent l="0" t="0" r="0" b="0"/>
                      <wp:wrapNone/>
                      <wp:docPr id="149" name="Frame141"/>
                      <a:graphic xmlns:a="http://schemas.openxmlformats.org/drawingml/2006/main">
                        <a:graphicData uri="http://schemas.microsoft.com/office/word/2010/wordprocessingShape">
                          <wps:wsp>
                            <wps:cNvSpPr txBox="1"/>
                            <wps:spPr>
                              <a:xfrm>
                                <a:off x="0" y="0"/>
                                <a:ext cx="316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4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5935" cy="175260"/>
                      <wp:effectExtent l="0" t="0" r="0" b="0"/>
                      <wp:wrapNone/>
                      <wp:docPr id="153" name="Frame1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95935" cy="175260"/>
                      <wp:effectExtent l="0" t="0" r="0" b="0"/>
                      <wp:wrapNone/>
                      <wp:docPr id="157" name="Frame14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9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30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9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(GAAP)</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37,822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139,670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96,082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13,932</w:t>
            </w:r>
          </w:p>
        </w:tc>
      </w:tr>
      <w:tr>
        <w:trPr/>
        <w:tc>
          <w:tcPr>
            <w:tcW w:w="498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Share-based compensation expense, net of tax effect of nil</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163,193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23,661</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Net income (Non-GAAP)</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37,822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139,670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259,275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37,593</w:t>
            </w:r>
          </w:p>
        </w:tc>
      </w:tr>
    </w:tbl>
    <w:p>
      <w:pPr>
        <w:pStyle w:val="TextBody"/>
        <w:spacing w:before="0" w:after="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9424" w:type="dxa"/>
        <w:jc w:val="left"/>
        <w:tblInd w:w="0" w:type="dxa"/>
        <w:tblCellMar>
          <w:top w:w="0" w:type="dxa"/>
          <w:left w:w="0" w:type="dxa"/>
          <w:bottom w:w="0" w:type="dxa"/>
          <w:right w:w="0" w:type="dxa"/>
        </w:tblCellMar>
      </w:tblPr>
      <w:tblGrid>
        <w:gridCol w:w="4981"/>
        <w:gridCol w:w="326"/>
        <w:gridCol w:w="781"/>
        <w:gridCol w:w="326"/>
        <w:gridCol w:w="781"/>
        <w:gridCol w:w="326"/>
        <w:gridCol w:w="796"/>
        <w:gridCol w:w="326"/>
        <w:gridCol w:w="781"/>
      </w:tblGrid>
      <w:tr>
        <w:trPr/>
        <w:tc>
          <w:tcPr>
            <w:tcW w:w="4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162935" cy="175260"/>
                      <wp:effectExtent l="0" t="0" r="0" b="0"/>
                      <wp:wrapNone/>
                      <wp:docPr id="158" name="Frame150"/>
                      <a:graphic xmlns:a="http://schemas.openxmlformats.org/drawingml/2006/main">
                        <a:graphicData uri="http://schemas.microsoft.com/office/word/2010/wordprocessingShape">
                          <wps:wsp>
                            <wps:cNvSpPr txBox="1"/>
                            <wps:spPr>
                              <a:xfrm>
                                <a:off x="0" y="0"/>
                                <a:ext cx="316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60" name="Frame15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62" name="Frame15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64" name="Frame15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5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11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9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42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11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 (GAAP)</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37,822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139,670</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96,082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13,932</w:t>
            </w:r>
          </w:p>
        </w:tc>
      </w:tr>
      <w:tr>
        <w:trPr/>
        <w:tc>
          <w:tcPr>
            <w:tcW w:w="4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7,937</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(14,456)</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(2,097)</w:t>
            </w:r>
          </w:p>
        </w:tc>
      </w:tr>
      <w:tr>
        <w:trPr/>
        <w:tc>
          <w:tcPr>
            <w:tcW w:w="4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37,602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64,217</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84,474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12,248</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84,955</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93,911</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88,561</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12,840</w:t>
            </w:r>
          </w:p>
        </w:tc>
      </w:tr>
      <w:tr>
        <w:trPr/>
        <w:tc>
          <w:tcPr>
            <w:tcW w:w="49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EBITDA (Non-GAAP)</w:t>
            </w:r>
          </w:p>
        </w:tc>
        <w:tc>
          <w:tcPr>
            <w:tcW w:w="326" w:type="dxa"/>
            <w:tcBorders/>
            <w:shd w:fill="auto" w:val="clear"/>
            <w:vAlign w:val="center"/>
          </w:tcPr>
          <w:p>
            <w:pPr>
              <w:pStyle w:val="TableContents"/>
              <w:spacing w:before="0" w:after="0"/>
              <w:ind w:left="0" w:right="0" w:hanging="0"/>
              <w:rPr/>
            </w:pPr>
            <w:r>
              <w:rPr/>
              <w:t> </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161,153</w:t>
            </w:r>
          </w:p>
        </w:tc>
        <w:tc>
          <w:tcPr>
            <w:tcW w:w="326" w:type="dxa"/>
            <w:tcBorders/>
            <w:shd w:fill="auto" w:val="clear"/>
            <w:vAlign w:val="center"/>
          </w:tcPr>
          <w:p>
            <w:pPr>
              <w:pStyle w:val="TableContents"/>
              <w:spacing w:before="0" w:after="0"/>
              <w:ind w:left="0" w:right="0" w:hanging="0"/>
              <w:rPr/>
            </w:pPr>
            <w:r>
              <w:rPr/>
              <w:t> </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299,013</w:t>
            </w:r>
          </w:p>
        </w:tc>
        <w:tc>
          <w:tcPr>
            <w:tcW w:w="326" w:type="dxa"/>
            <w:tcBorders/>
            <w:shd w:fill="auto" w:val="clear"/>
            <w:vAlign w:val="center"/>
          </w:tcPr>
          <w:p>
            <w:pPr>
              <w:pStyle w:val="TableContents"/>
              <w:spacing w:before="0" w:after="0"/>
              <w:ind w:left="0" w:right="0" w:hanging="0"/>
              <w:rPr/>
            </w:pPr>
            <w:r>
              <w:rPr/>
              <w:t> </w:t>
            </w:r>
          </w:p>
        </w:tc>
        <w:tc>
          <w:tcPr>
            <w:tcW w:w="79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261,162</w:t>
            </w:r>
          </w:p>
        </w:tc>
        <w:tc>
          <w:tcPr>
            <w:tcW w:w="326" w:type="dxa"/>
            <w:tcBorders/>
            <w:shd w:fill="auto" w:val="clear"/>
            <w:vAlign w:val="center"/>
          </w:tcPr>
          <w:p>
            <w:pPr>
              <w:pStyle w:val="TableContents"/>
              <w:spacing w:before="0" w:after="0"/>
              <w:ind w:left="0" w:right="0" w:hanging="0"/>
              <w:rPr/>
            </w:pPr>
            <w:r>
              <w:rPr/>
              <w:t> </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37,866</w:t>
            </w:r>
          </w:p>
        </w:tc>
      </w:tr>
      <w:tr>
        <w:trPr/>
        <w:tc>
          <w:tcPr>
            <w:tcW w:w="498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Share-based compensation expense, net of tax effect of nil</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9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163,193</w:t>
            </w:r>
          </w:p>
        </w:tc>
        <w:tc>
          <w:tcPr>
            <w:tcW w:w="326" w:type="dxa"/>
            <w:tcBorders/>
            <w:shd w:fill="CCEEFF" w:val="clear"/>
            <w:vAlign w:val="center"/>
          </w:tcPr>
          <w:p>
            <w:pPr>
              <w:pStyle w:val="TableContents"/>
              <w:spacing w:before="0" w:after="0"/>
              <w:ind w:left="0" w:right="0" w:hanging="0"/>
              <w:rPr/>
            </w:pPr>
            <w:r>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23,661</w:t>
            </w:r>
          </w:p>
        </w:tc>
      </w:tr>
      <w:tr>
        <w:trPr/>
        <w:tc>
          <w:tcPr>
            <w:tcW w:w="49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161,153</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299,013</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424,355</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61,527</w:t>
            </w:r>
          </w:p>
        </w:tc>
      </w:tr>
    </w:tbl>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Note: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share-based compensation expenses were recorded at entities in PRC. Share-based compensation expenses were non-deductible expenses in PRC. Therefore, there is no tax impact for share-based compensation expenses adjustment for non-GAAP financial measures.</w:t>
      </w:r>
    </w:p>
    <w:tbl>
      <w:tblPr>
        <w:tblW w:w="3332" w:type="dxa"/>
        <w:jc w:val="left"/>
        <w:tblInd w:w="0" w:type="dxa"/>
        <w:tblCellMar>
          <w:top w:w="0" w:type="dxa"/>
          <w:left w:w="0" w:type="dxa"/>
          <w:bottom w:w="0" w:type="dxa"/>
          <w:right w:w="0" w:type="dxa"/>
        </w:tblCellMar>
      </w:tblPr>
      <w:tblGrid>
        <w:gridCol w:w="451"/>
        <w:gridCol w:w="288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5.B.</w:t>
            </w:r>
          </w:p>
        </w:tc>
        <w:tc>
          <w:tcPr>
            <w:tcW w:w="288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Liquidity and Capital Resources</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and Working Capital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principal sources of liquidity come from cash generated from operating activities, equity financing and bank loans. As of December 31, 2022, we had RMB1,589.2 million (US$230.4 million) in cash and cash equivalents. Our cash and cash equivalents consist of cash on hand and liquid investments which have maturities of three months or less when acquired and are unrestricted as to withdrawal or use.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expect to incur additional capital expenditures in connection with leasehold improvements of our leased hotels. We intend to fund this planned expansion with our operating cash flow and our cash balance, credit facilities provided by banks, as well as net proceeds received from our initial public offering in November 2022. We believe that our current cash and anticipated cash flow from operations will be sufficient to meet our anticipated cash needs, including our cash needs for working capital and capital expenditures, for at least the next 12 months.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intend to finance our future working capital requirements and capital expenditures with anticipated cash generated from operating activities and funds raised from financing activities. However, we may not be able to obtain additional financing on terms favorable to us, if at all. If we are unable to obtain adequate financing or financing on terms satisfactory to us when we require it, our ability to continue to execute our growth strategies and scale our business could be significantly impaired, and our business, operating results and financial condition may be adversely affected. See “Item 3. Key Information—3.D. Risk Factors—Risks Related to Our Business and Industry—We require significant capital to fund our operations, growth and technological investments. If we cannot obtain sufficient capital on acceptable terms, our business, financial condition and prospects may suffer.”</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263"/>
        <w:gridCol w:w="326"/>
        <w:gridCol w:w="889"/>
        <w:gridCol w:w="326"/>
        <w:gridCol w:w="931"/>
        <w:gridCol w:w="326"/>
        <w:gridCol w:w="931"/>
        <w:gridCol w:w="326"/>
        <w:gridCol w:w="887"/>
      </w:tblGrid>
      <w:tr>
        <w:trPr/>
        <w:tc>
          <w:tcPr>
            <w:tcW w:w="5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342005" cy="175260"/>
                      <wp:effectExtent l="0" t="0" r="0" b="0"/>
                      <wp:wrapNone/>
                      <wp:docPr id="167" name="Frame159"/>
                      <a:graphic xmlns:a="http://schemas.openxmlformats.org/drawingml/2006/main">
                        <a:graphicData uri="http://schemas.microsoft.com/office/word/2010/wordprocessingShape">
                          <wps:wsp>
                            <wps:cNvSpPr txBox="1"/>
                            <wps:spPr>
                              <a:xfrm>
                                <a:off x="0" y="0"/>
                                <a:ext cx="3342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4515" cy="175260"/>
                      <wp:effectExtent l="0" t="0" r="0" b="0"/>
                      <wp:wrapNone/>
                      <wp:docPr id="169" name="Frame161"/>
                      <a:graphic xmlns:a="http://schemas.openxmlformats.org/drawingml/2006/main">
                        <a:graphicData uri="http://schemas.microsoft.com/office/word/2010/wordprocessingShape">
                          <wps:wsp>
                            <wps:cNvSpPr txBox="1"/>
                            <wps:spPr>
                              <a:xfrm>
                                <a:off x="0" y="0"/>
                                <a:ext cx="564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91185" cy="175260"/>
                      <wp:effectExtent l="0" t="0" r="0" b="0"/>
                      <wp:wrapNone/>
                      <wp:docPr id="171" name="Frame16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3" name="Frame16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63245" cy="175260"/>
                      <wp:effectExtent l="0" t="0" r="0" b="0"/>
                      <wp:wrapNone/>
                      <wp:docPr id="175" name="Frame167"/>
                      <a:graphic xmlns:a="http://schemas.openxmlformats.org/drawingml/2006/main">
                        <a:graphicData uri="http://schemas.microsoft.com/office/word/2010/wordprocessingShape">
                          <wps:wsp>
                            <wps:cNvSpPr txBox="1"/>
                            <wps:spPr>
                              <a:xfrm>
                                <a:off x="0" y="0"/>
                                <a:ext cx="563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1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14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8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52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16"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operating activities</w:t>
            </w:r>
          </w:p>
        </w:tc>
        <w:tc>
          <w:tcPr>
            <w:tcW w:w="326" w:type="dxa"/>
            <w:tcBorders/>
            <w:shd w:fill="CCEEFF" w:val="clear"/>
            <w:vAlign w:val="center"/>
          </w:tcPr>
          <w:p>
            <w:pPr>
              <w:pStyle w:val="TableContents"/>
              <w:spacing w:before="0" w:after="0"/>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118,670</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417,879</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283,677</w:t>
            </w:r>
          </w:p>
        </w:tc>
        <w:tc>
          <w:tcPr>
            <w:tcW w:w="326" w:type="dxa"/>
            <w:tcBorders/>
            <w:shd w:fill="CCEEFF" w:val="clear"/>
            <w:vAlign w:val="center"/>
          </w:tcPr>
          <w:p>
            <w:pPr>
              <w:pStyle w:val="TableContents"/>
              <w:spacing w:before="0" w:after="0"/>
              <w:ind w:left="0" w:right="0" w:hanging="0"/>
              <w:rPr/>
            </w:pPr>
            <w:r>
              <w:rPr/>
              <w:t> </w:t>
            </w:r>
          </w:p>
        </w:tc>
        <w:tc>
          <w:tcPr>
            <w:tcW w:w="8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41,129</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88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(105,527)</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(42,225)</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(192,225)</w:t>
            </w:r>
          </w:p>
        </w:tc>
        <w:tc>
          <w:tcPr>
            <w:tcW w:w="326" w:type="dxa"/>
            <w:tcBorders/>
            <w:shd w:fill="auto" w:val="clear"/>
            <w:vAlign w:val="center"/>
          </w:tcPr>
          <w:p>
            <w:pPr>
              <w:pStyle w:val="TableContents"/>
              <w:spacing w:before="0" w:after="0"/>
              <w:ind w:left="0" w:right="0" w:hanging="0"/>
              <w:rPr/>
            </w:pPr>
            <w:r>
              <w:rPr/>
              <w:t> </w:t>
            </w:r>
          </w:p>
        </w:tc>
        <w:tc>
          <w:tcPr>
            <w:tcW w:w="88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(27,870)</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(used in) financing activities</w:t>
            </w:r>
          </w:p>
        </w:tc>
        <w:tc>
          <w:tcPr>
            <w:tcW w:w="326" w:type="dxa"/>
            <w:tcBorders/>
            <w:shd w:fill="CCEEFF" w:val="clear"/>
            <w:vAlign w:val="center"/>
          </w:tcPr>
          <w:p>
            <w:pPr>
              <w:pStyle w:val="TableContents"/>
              <w:spacing w:before="0" w:after="0"/>
              <w:ind w:left="0" w:right="0" w:hanging="0"/>
              <w:rPr/>
            </w:pPr>
            <w:r>
              <w:rPr/>
              <w:t> </w:t>
            </w:r>
          </w:p>
        </w:tc>
        <w:tc>
          <w:tcPr>
            <w:tcW w:w="88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48,011</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(161,080)</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456,310</w:t>
            </w:r>
          </w:p>
        </w:tc>
        <w:tc>
          <w:tcPr>
            <w:tcW w:w="326" w:type="dxa"/>
            <w:tcBorders/>
            <w:shd w:fill="CCEEFF" w:val="clear"/>
            <w:vAlign w:val="center"/>
          </w:tcPr>
          <w:p>
            <w:pPr>
              <w:pStyle w:val="TableContents"/>
              <w:spacing w:before="0" w:after="0"/>
              <w:ind w:left="0" w:right="0" w:hanging="0"/>
              <w:rPr/>
            </w:pPr>
            <w:r>
              <w:rPr/>
              <w:t> </w:t>
            </w:r>
          </w:p>
        </w:tc>
        <w:tc>
          <w:tcPr>
            <w:tcW w:w="88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66,159</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in cash and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889"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61,154</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206,393</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550,578</w:t>
            </w:r>
          </w:p>
        </w:tc>
        <w:tc>
          <w:tcPr>
            <w:tcW w:w="326" w:type="dxa"/>
            <w:tcBorders/>
            <w:shd w:fill="auto" w:val="clear"/>
            <w:vAlign w:val="center"/>
          </w:tcPr>
          <w:p>
            <w:pPr>
              <w:pStyle w:val="TableContents"/>
              <w:spacing w:before="0" w:after="0"/>
              <w:ind w:left="0" w:right="0" w:hanging="0"/>
              <w:rPr/>
            </w:pPr>
            <w:r>
              <w:rPr/>
              <w:t> </w:t>
            </w:r>
          </w:p>
        </w:tc>
        <w:tc>
          <w:tcPr>
            <w:tcW w:w="887"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79,826</w:t>
            </w:r>
          </w:p>
        </w:tc>
      </w:tr>
      <w:tr>
        <w:trPr/>
        <w:tc>
          <w:tcPr>
            <w:tcW w:w="5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at the beginning of the period</w:t>
            </w:r>
          </w:p>
        </w:tc>
        <w:tc>
          <w:tcPr>
            <w:tcW w:w="326" w:type="dxa"/>
            <w:tcBorders/>
            <w:shd w:fill="CCEEFF" w:val="clear"/>
            <w:vAlign w:val="center"/>
          </w:tcPr>
          <w:p>
            <w:pPr>
              <w:pStyle w:val="TableContents"/>
              <w:spacing w:before="0" w:after="0"/>
              <w:ind w:left="0" w:right="0" w:hanging="0"/>
              <w:rPr/>
            </w:pPr>
            <w:r>
              <w:rPr/>
              <w:t> </w:t>
            </w:r>
          </w:p>
        </w:tc>
        <w:tc>
          <w:tcPr>
            <w:tcW w:w="8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771,982</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833,136</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1,039,529</w:t>
            </w:r>
          </w:p>
        </w:tc>
        <w:tc>
          <w:tcPr>
            <w:tcW w:w="326" w:type="dxa"/>
            <w:tcBorders/>
            <w:shd w:fill="CCEEFF" w:val="clear"/>
            <w:vAlign w:val="center"/>
          </w:tcPr>
          <w:p>
            <w:pPr>
              <w:pStyle w:val="TableContents"/>
              <w:spacing w:before="0" w:after="0"/>
              <w:ind w:left="0" w:right="0" w:hanging="0"/>
              <w:rPr/>
            </w:pPr>
            <w:r>
              <w:rPr/>
              <w:t> </w:t>
            </w:r>
          </w:p>
        </w:tc>
        <w:tc>
          <w:tcPr>
            <w:tcW w:w="8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150,718</w:t>
            </w:r>
          </w:p>
        </w:tc>
      </w:tr>
      <w:tr>
        <w:trPr/>
        <w:tc>
          <w:tcPr>
            <w:tcW w:w="526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at the end of the period</w:t>
            </w:r>
          </w:p>
        </w:tc>
        <w:tc>
          <w:tcPr>
            <w:tcW w:w="326" w:type="dxa"/>
            <w:tcBorders/>
            <w:shd w:fill="auto" w:val="clear"/>
            <w:vAlign w:val="center"/>
          </w:tcPr>
          <w:p>
            <w:pPr>
              <w:pStyle w:val="TableContents"/>
              <w:spacing w:before="0" w:after="0"/>
              <w:ind w:left="0" w:right="0" w:hanging="0"/>
              <w:rPr/>
            </w:pPr>
            <w:r>
              <w:rPr/>
              <w:t> </w:t>
            </w:r>
          </w:p>
        </w:tc>
        <w:tc>
          <w:tcPr>
            <w:tcW w:w="8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833,136</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1,039,529</w:t>
            </w:r>
          </w:p>
        </w:tc>
        <w:tc>
          <w:tcPr>
            <w:tcW w:w="326" w:type="dxa"/>
            <w:tcBorders/>
            <w:shd w:fill="auto" w:val="clear"/>
            <w:vAlign w:val="center"/>
          </w:tcPr>
          <w:p>
            <w:pPr>
              <w:pStyle w:val="TableContents"/>
              <w:spacing w:before="0" w:after="0"/>
              <w:ind w:left="0" w:right="0" w:hanging="0"/>
              <w:rPr/>
            </w:pPr>
            <w:r>
              <w:rPr/>
              <w:t> </w:t>
            </w:r>
          </w:p>
        </w:tc>
        <w:tc>
          <w:tcPr>
            <w:tcW w:w="9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1,590,107</w:t>
            </w:r>
          </w:p>
        </w:tc>
        <w:tc>
          <w:tcPr>
            <w:tcW w:w="326" w:type="dxa"/>
            <w:tcBorders/>
            <w:shd w:fill="auto" w:val="clear"/>
            <w:vAlign w:val="center"/>
          </w:tcPr>
          <w:p>
            <w:pPr>
              <w:pStyle w:val="TableContents"/>
              <w:spacing w:before="0" w:after="0"/>
              <w:ind w:left="0" w:right="0" w:hanging="0"/>
              <w:rPr/>
            </w:pPr>
            <w:r>
              <w:rPr/>
              <w:t> </w:t>
            </w:r>
          </w:p>
        </w:tc>
        <w:tc>
          <w:tcPr>
            <w:tcW w:w="8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230,544</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With Chinese government's effective control of the pandemic and the recovery of the tourism industry, our hotels resumed operations gradually and our net income increased to RMB139.7 million in 2021, resulting in our net cash generated from operating activities in 2021 reaching RMB417.9 million, represents a 252.1% increase as compared to 2020. Our net cash generated from operating activities decreased from RMB417.9 million in 2021 to RMB283.7 million (US$41.1 million) in 2022, primarily due to accelerated payment to our franchisees by us and the impact of the resurgence of the Omicron variant of COVID-19 in various cities across China since the beginning of 2022. See “Item 3. Key Information—3.D. Risk Factors—Risks Related to Our Business and Industry—The COVID-19 pandemic has adversely affected, and may continue to adversely affect, our financial and operating performance.”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cash used in investing activities is primarily related to our leasehold improvements and purchase of equipment and fixtures used in leased hotels, and investment in short-term financial products offered by PRC commercial banks.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used in investing activities decreased from RMB105.5 million in 2020 to RMB42.2 million in 2021, primarily due to the decrease in acquisition of property and equipment of leased hotels. In 2022, our net cash used in investing activities increased to RMB192.2 million (US$27.9 million), primarily due to increase in investment in short-term financial products.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financing activities primarily consisted of net proceeds from initial public offering and borrowings from PRC commercial banks and other third parties.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used in financing activities was RMB161.1 million in 2021, compared to RMB48.0 million of net cash generated from financing activities in 2020, which was attributable to the repurchase of our ordinary shares in the first half of 2021 and the repayment of borrowings, net off by the proceeds provided by borrowings. We recorded net cash generated from financing activities of RMB456.3 million (US$66.2 million) in 2022. The increase from 2021 to 2022 was mainly due to the receipt of proceeds from our initial public offering in 2022.</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Material Cash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material cash requirements as of December 31, 2022 and any subsequent interim period primarily include our working capital and operating expenditure needs, capital expenditures, contractual obligations and outstanding indebtedness.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capital expenditures and contractual obligations, as discussed below, we did not have any significant capital and other commitments, long-term obligations or guarantees as of December 31, 2022. We did not have material future minimum capital commitments as of December 31, 2022.</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Capital Expenditures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capital expenditures were incurred primarily in connection with leasehold improvements, investments in furniture, fixtures and equipment and technology, information and operational software. Our capital expenditures were RMB112.8 million, RMB64.0 million and RMB36.4 million (US$5.3 million) in 2020, 2021 and 2022, respectively. Our capital expenditures decreased over time from 2020 to 2022, especially in 2021 primarily because the number of our leased hotels remained relatively stable during 2020 and 2021, which resulted in decreased expenses associated with leasehold improvements and investments in furniture, fixtures and equipment. We will continue to make capital expenditures to meet the expected growth of our operations and expect cash generated from our operating activities and financing activities will continue to meet our capital expenditure needs in the foreseeable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Contractual Obligations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contractual obligations as of December 31, 2022:</w:t>
      </w:r>
    </w:p>
    <w:p>
      <w:pPr>
        <w:pStyle w:val="TextBody"/>
        <w:spacing w:before="0" w:after="0"/>
        <w:ind w:left="0" w:right="0" w:hanging="0"/>
        <w:rPr/>
      </w:pPr>
      <w:r>
        <w:rPr/>
        <w:t>​</w:t>
      </w:r>
    </w:p>
    <w:tbl>
      <w:tblPr>
        <w:tblW w:w="8146" w:type="dxa"/>
        <w:jc w:val="left"/>
        <w:tblInd w:w="0" w:type="dxa"/>
        <w:tblCellMar>
          <w:top w:w="0" w:type="dxa"/>
          <w:left w:w="0" w:type="dxa"/>
          <w:bottom w:w="0" w:type="dxa"/>
          <w:right w:w="0" w:type="dxa"/>
        </w:tblCellMar>
      </w:tblPr>
      <w:tblGrid>
        <w:gridCol w:w="2356"/>
        <w:gridCol w:w="326"/>
        <w:gridCol w:w="931"/>
        <w:gridCol w:w="326"/>
        <w:gridCol w:w="781"/>
        <w:gridCol w:w="326"/>
        <w:gridCol w:w="781"/>
        <w:gridCol w:w="326"/>
        <w:gridCol w:w="781"/>
        <w:gridCol w:w="326"/>
        <w:gridCol w:w="886"/>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96060" cy="175260"/>
                      <wp:effectExtent l="0" t="0" r="0" b="0"/>
                      <wp:wrapNone/>
                      <wp:docPr id="176" name="Frame168"/>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91185" cy="175260"/>
                      <wp:effectExtent l="0" t="0" r="0" b="0"/>
                      <wp:wrapNone/>
                      <wp:docPr id="178" name="Frame17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95935" cy="175260"/>
                      <wp:effectExtent l="0" t="0" r="0" b="0"/>
                      <wp:wrapNone/>
                      <wp:docPr id="180" name="Frame1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7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62610" cy="175260"/>
                      <wp:effectExtent l="0" t="0" r="0" b="0"/>
                      <wp:wrapNone/>
                      <wp:docPr id="186" name="Frame17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46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Less</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More</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Than</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 – 3</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3 – 5</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Than</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8146"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464" w:type="dxa"/>
            <w:gridSpan w:val="9"/>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RMB thousands)</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obligations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2,510,055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404,020</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646,499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565,174</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894,362</w:t>
            </w:r>
          </w:p>
        </w:tc>
      </w:tr>
    </w:tbl>
    <w:p>
      <w:pPr>
        <w:pStyle w:val="TextBody"/>
        <w:spacing w:before="0" w:after="0"/>
        <w:ind w:left="0" w:right="0" w:hanging="0"/>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operating lease obligations are primarily related to our obligations under lease agreements with lessors of business offices and certain hotels.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Outstanding Indebtedness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several customary credit facilities with major merchant banks in China under which we could borrow up to RMB400 million during the term of the facilities with maturity dates ranging from June 2023 to September 2023. The drawdown of the credit facilities is subject to the terms and conditions of each credit agreement. The credit facilities also require us to comply with the various customary covenants and other restrictions, including but not limited to ensuring the sum of interest bearing borrowings and bills payable (if applicable) to be lower than RMB300 million if our revenues are less than RMB2,500 million. As of December 31, 2022, we had outstanding bank loans in an aggregate amount of RMB172.1 million with interest rate ranging from 3.7% to 4.9% per annum. As of December 31, 2022, the unutilized credit facility available was RMB279 million. As of December 31, 2022, we were in compliance with the above financial covenants.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Commitments and Arrangements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operating lease obligations set forth in the table under the caption “Contractual Obligations”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Holding Company 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with no business operations of our own. We conduct all of our operations through our subsidiaries in China, in particular, Shanghai Atour Business Management Group Co., Ltd., or Atour Shanghai, and its subsidiaries, and a substantial portion of our assets are located in China. As a result, our ability to pay dividends and to service any debt we may incur overseas largely depends upon dividends paid by our subsidiaries. If our subsidiaries incur debt on their own behalf in the future, the instruments governing their debt may restrict their ability to pay dividends to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our subsidiaries in China are permitted to pay dividends to us only out of their retained earnings, if any, as determined in accordance with the Accounting Standards for Business Enterprise as promulgated by the Ministry of Finance of the PRC, or the PRC GAAP. The aggregate retained earnings for our PRC subsidiaries as determined under the Accounting Standards for Business Enterprise were RMB387.4 million and RMB411.2 million (US$59.6 million) as of December 31, 2021 and 2022, respectively. Pursuant to the laws and regulations applicable to China’s foreign investment enterprises, our subsidiaries that are foreign investment enterprises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the PRC GAAP. Appropriation is not required if the reserve fund has reached 50% of the registered capital of our subsidiaries. Appropriation to the other two reserve funds are at our subsidiaries’ discretion. Our PRC subsidiaries did not make any contributions to the enterprise expansion fund or the staff and bonus welfare fund during each period presented. The restricted amounts of our PRC subsidiaries totaled RMB74.6 million and RMB83.9 million (US$12.2 million) as of December 31, 2021 and 2022, respectively. See “Item 4.Information on The Company—4.B. Business Overview—Regulation—Regulations on Dividend Distribution” for a detailed discussion of the PRC legal restrictions on dividends and our ability to transfer cash within our group. In addition, ADS holders may potentially be subject to PRC taxes on dividends paid by us in the event Atour Lifestyle Holdings Limited is deemed as a PRC resident enterprise for PRC tax purposes. See “Item 5. Operating and Financial Review and Prospects—5.A. Operating Results—Taxation—PRC” for more details.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 of our PRC subsidiaries have issued any dividends or distributions to respective holding companies, including Atour Lifestyle Holdings Limited, or any investors as of the date of this annual report. Our subsidiaries in the PRC generate and retain cash generated from operating activities and re-invest it in our business. In May 2021, our Hong Kong subsidiary, Atour Hotel (HK) Holdings Limited, distributed RMB20.6 million to certain shareholders. Historically, Atour Shanghai has also received equity financing from its shareholders to fund business operations of our PRC subsidiaries. In 2020, 2021 and 2022, we did not transfer any cash proceeds to any of our PRC subsidiaries except for the cash transfers within our Group in connection with our restructuring in 2021 for our initial public offering. In the future, cash proceeds raised from overseas financing activities, including our initial public offering in November 2021, may be transferred by us through our Hong Kong subsidiary, Atour Hotel (HK) Holdings Limited to our PRC subsidiary Atour Shanghai via capital contribution and shareholder loans, as the case may be. Atour Shanghai then will transfer funds to its subsidiaries to meet the capital needs of our business operations. For details about the applicable PRC rules that limit transfer of funds from overseas to our PRC subsidiaries, see “Item 14.Material Modifications to The Rights of Security Holders and Use of Proceeds,” “Item 3. Key Information—3.D. Risk Factors—Risks Related to Doing Business in China—PRC regulation of loans to and direct investment in PRC entities by offshore holding companies and governmental control of currency conversion may restrict or delay us from using the proceeds of our initial public offering to make loans or additional capital contributions to our PRC subsidiaries, which could adversely affect our liquidity and our ability to fund and expand our business” and “Item 4.Information on The Company—4.B. Business Overview—Regulation—Regulations on Offshore Financing.”</w:t>
      </w:r>
    </w:p>
    <w:tbl>
      <w:tblPr>
        <w:tblW w:w="5102" w:type="dxa"/>
        <w:jc w:val="left"/>
        <w:tblInd w:w="0" w:type="dxa"/>
        <w:tblCellMar>
          <w:top w:w="0" w:type="dxa"/>
          <w:left w:w="0" w:type="dxa"/>
          <w:bottom w:w="0" w:type="dxa"/>
          <w:right w:w="0" w:type="dxa"/>
        </w:tblCellMar>
      </w:tblPr>
      <w:tblGrid>
        <w:gridCol w:w="451"/>
        <w:gridCol w:w="4651"/>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5.C.</w:t>
            </w:r>
          </w:p>
        </w:tc>
        <w:tc>
          <w:tcPr>
            <w:tcW w:w="46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Research and Development, Patents and Licenses, etc.</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focus on digitalizing our business to further cater to customer demands and enhance customer experience.  To provide our customers with personalized services and products, we have developed a comprehensive digital management system, which improves customer experience and operational efficiency in room reservation, room management, pricing and membership benefits. We use our data technology to identify market trends and inform our hotel management decisions, and make our hotel services and retail products more relatable to customers through seamless integration into our rooms and other consumption scenarios throughout our hotels.</w:t>
      </w:r>
    </w:p>
    <w:tbl>
      <w:tblPr>
        <w:tblW w:w="2207" w:type="dxa"/>
        <w:jc w:val="left"/>
        <w:tblInd w:w="0" w:type="dxa"/>
        <w:tblCellMar>
          <w:top w:w="0" w:type="dxa"/>
          <w:left w:w="0" w:type="dxa"/>
          <w:bottom w:w="0" w:type="dxa"/>
          <w:right w:w="0" w:type="dxa"/>
        </w:tblCellMar>
      </w:tblPr>
      <w:tblGrid>
        <w:gridCol w:w="451"/>
        <w:gridCol w:w="175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5.D.</w:t>
            </w:r>
          </w:p>
        </w:tc>
        <w:tc>
          <w:tcPr>
            <w:tcW w:w="175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Trend Information</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year ended December 31, 2022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137" w:type="dxa"/>
        <w:jc w:val="left"/>
        <w:tblInd w:w="0" w:type="dxa"/>
        <w:tblCellMar>
          <w:top w:w="0" w:type="dxa"/>
          <w:left w:w="0" w:type="dxa"/>
          <w:bottom w:w="0" w:type="dxa"/>
          <w:right w:w="0" w:type="dxa"/>
        </w:tblCellMar>
      </w:tblPr>
      <w:tblGrid>
        <w:gridCol w:w="451"/>
        <w:gridCol w:w="2686"/>
      </w:tblGrid>
      <w:tr>
        <w:trPr/>
        <w:tc>
          <w:tcPr>
            <w:tcW w:w="451"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5.E.</w:t>
            </w:r>
          </w:p>
        </w:tc>
        <w:tc>
          <w:tcPr>
            <w:tcW w:w="2686" w:type="dxa"/>
            <w:tcBorders/>
            <w:shd w:fill="auto" w:val="clear"/>
            <w:vAlign w:val="center"/>
          </w:tcPr>
          <w:p>
            <w:pPr>
              <w:pStyle w:val="TableContents"/>
              <w:spacing w:before="0" w:after="240"/>
              <w:jc w:val="both"/>
              <w:rPr>
                <w:rFonts w:ascii="Times New Roman;Times;serif" w:hAnsi="Times New Roman;Times;serif"/>
                <w:b/>
                <w:sz w:val="20"/>
              </w:rPr>
            </w:pPr>
            <w:r>
              <w:rPr>
                <w:rFonts w:ascii="Times New Roman;Times;serif" w:hAnsi="Times New Roman;Times;serif"/>
                <w:b/>
                <w:sz w:val="20"/>
              </w:rPr>
              <w:t>Critical Accounting Estimates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prepare our financial statements in conformity with U.S. generally accepted accounting principles (“U.S. GAAP”), which requires us to make judgments, estimates and assumptions. We continually evaluate these estimates and assumptions based on the most recent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Customer loyalty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invite our customers to participate in a membership program with different tiers of membership. Members could pay a membership fee for a higher membership tier.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membership program, members earn loyalty points, which generally expire two years after being earned and can be redeemed for future products and services. Points earned by loyalty program members represent a material right to free or discounted goods or services in the future. We are responsible for providing or arranging for the provision of those free or discounted goods or services in exchange. We are acting as a principal if the members redeem the points for the room nights in leased hotels or other lifestyle products. We are acting as an agent if the members redeem the points for room nights in manachised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estimate the breakage for loyalty points that members will never redeem based on a number of factors, including but not limited to, the historical redemption pattern and expectations of future member behavior. Assuming the standalone selling price of the loyalty point remains unchanged, as of December 31, 2022, it is estimated that a reasonably possible increase of 5% in the redemption rate of the loyalty point would decrease the estimated breakage revenue by approximately RMB12.7 million (US$1.8 million) for the year ended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Impairment of long-lived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Long-lived assets, such as property and equipment and operating lease right of use assets, are reviewed for impairment whenever events or changes in circumstances indicate that the carrying amount may not be recoverable.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purposes of impairment testing of long-lived assets of leased hotel, we have concluded that an individual hotel is the lowest level for which identifiable cash flows are largely independent of the cash flows of other assets and liabilities. When there were circumstances that require the long-lived assets of a hotel be tested for possible impairment, we first compare undiscounted cash flows generated by the assets to the carrying amount. Estimates of forecasted cash flows involve highly subjective judgement, which incorporate our best estimate of revenue growth. If the carrying amount of the long-lived assets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 impairment loss was recorded for the years ended December 31, 2020, 2021 and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account for the compensation cost from share-based payment transactions with employees based on the grant-date fair value of the equity instrument issued. The grant-date fair value of the award is recognized as compensation expense, over the period during which an employee is required to provide service in exchange for the award, which is generally the vesting period. When no future services are required to be performed by the employee in exchange for an award of equity instruments, and if such award does not contain a performance or market condition, the cost of the award is expensed on the grant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Awards granted to employees with performance conditions attached are measured at fair value on the grant date and are recognized as the compensation expenses in the period and thereafter when the performance goal becomes probable to achieve.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fair value of the share options granted is estimated on the date of grant using the binomial option pricing model with the following key assumptions used.</w:t>
      </w:r>
    </w:p>
    <w:p>
      <w:pPr>
        <w:pStyle w:val="TextBody"/>
        <w:spacing w:before="0" w:after="0"/>
        <w:ind w:left="0" w:right="0" w:hanging="0"/>
        <w:rPr/>
      </w:pPr>
      <w:r>
        <w:rPr/>
        <w:t>​</w:t>
      </w:r>
    </w:p>
    <w:tbl>
      <w:tblPr>
        <w:tblW w:w="10115" w:type="dxa"/>
        <w:jc w:val="left"/>
        <w:tblInd w:w="0" w:type="dxa"/>
        <w:tblCellMar>
          <w:top w:w="0" w:type="dxa"/>
          <w:left w:w="0" w:type="dxa"/>
          <w:bottom w:w="0" w:type="dxa"/>
          <w:right w:w="0" w:type="dxa"/>
        </w:tblCellMar>
      </w:tblPr>
      <w:tblGrid>
        <w:gridCol w:w="3166"/>
        <w:gridCol w:w="326"/>
        <w:gridCol w:w="1306"/>
        <w:gridCol w:w="361"/>
        <w:gridCol w:w="1306"/>
        <w:gridCol w:w="361"/>
        <w:gridCol w:w="1306"/>
        <w:gridCol w:w="361"/>
        <w:gridCol w:w="1306"/>
        <w:gridCol w:w="316"/>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10410" cy="175260"/>
                      <wp:effectExtent l="0" t="0" r="0" b="0"/>
                      <wp:wrapNone/>
                      <wp:docPr id="187" name="Frame179"/>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829310" cy="175260"/>
                      <wp:effectExtent l="0" t="0" r="0" b="0"/>
                      <wp:wrapNone/>
                      <wp:docPr id="189" name="Frame181"/>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9235" cy="175260"/>
                      <wp:effectExtent l="0" t="0" r="0" b="0"/>
                      <wp:wrapNone/>
                      <wp:docPr id="190" name="Frame18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29310" cy="175260"/>
                      <wp:effectExtent l="0" t="0" r="0" b="0"/>
                      <wp:wrapNone/>
                      <wp:docPr id="191" name="Frame183"/>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9235" cy="175260"/>
                      <wp:effectExtent l="0" t="0" r="0" b="0"/>
                      <wp:wrapNone/>
                      <wp:docPr id="192" name="Frame18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29310" cy="175260"/>
                      <wp:effectExtent l="0" t="0" r="0" b="0"/>
                      <wp:wrapNone/>
                      <wp:docPr id="193" name="Frame185"/>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9235" cy="175260"/>
                      <wp:effectExtent l="0" t="0" r="0" b="0"/>
                      <wp:wrapNone/>
                      <wp:docPr id="194" name="Frame18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29310" cy="175260"/>
                      <wp:effectExtent l="0" t="0" r="0" b="0"/>
                      <wp:wrapNone/>
                      <wp:docPr id="195" name="Frame187"/>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0660" cy="175260"/>
                      <wp:effectExtent l="0" t="0" r="0" b="0"/>
                      <wp:wrapNone/>
                      <wp:docPr id="196" name="Frame18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0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316"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61"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jc w:val="center"/>
              <w:rPr/>
            </w:pPr>
            <w:r>
              <w:rPr/>
              <w:t> </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rate of return</w:t>
            </w:r>
          </w:p>
        </w:tc>
        <w:tc>
          <w:tcPr>
            <w:tcW w:w="326" w:type="dxa"/>
            <w:tcBorders/>
            <w:shd w:fill="CCEEFF" w:val="clear"/>
            <w:vAlign w:val="center"/>
          </w:tcPr>
          <w:p>
            <w:pPr>
              <w:pStyle w:val="TableContents"/>
              <w:spacing w:before="0" w:after="0"/>
              <w:ind w:left="0" w:right="0" w:hanging="0"/>
              <w:rPr/>
            </w:pPr>
            <w:r>
              <w:rPr/>
              <w:t> </w:t>
            </w:r>
          </w:p>
        </w:tc>
        <w:tc>
          <w:tcPr>
            <w:tcW w:w="130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3.10%~3.20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2.90%~3.10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1.70%~3.20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Volatility</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32.10%~33.68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34.30%~34.40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34.61%~37.64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38.98%~40.44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ordinary share (in RMB)</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6.12~9.94</w:t>
            </w:r>
          </w:p>
        </w:tc>
        <w:tc>
          <w:tcPr>
            <w:tcW w:w="361"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10.54~10.93</w:t>
            </w:r>
          </w:p>
        </w:tc>
        <w:tc>
          <w:tcPr>
            <w:tcW w:w="361"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11.93~31.74</w:t>
            </w:r>
          </w:p>
        </w:tc>
        <w:tc>
          <w:tcPr>
            <w:tcW w:w="361"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28.80~43.56</w:t>
            </w:r>
          </w:p>
        </w:tc>
        <w:tc>
          <w:tcPr>
            <w:tcW w:w="31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multiple</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Fair value of our ordinary shares prior to the completion of our IPO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Prior to the completion of our IPO in November 2022, we were a private company with no quoted market prices for our ordinary shares. We were therefore required to make estimates of the fair value of our ordinary shares at various dates for the purposes of at the date of grant of a share-based award as one of the inputs in determining the grant date fair value of the award.</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fair value of our ordinary shares estimated at different times during the years ended December 31, 2020, 2021 and 2022 with the assistance from an independent valuation firm.</w:t>
      </w:r>
    </w:p>
    <w:p>
      <w:pPr>
        <w:pStyle w:val="TextBody"/>
        <w:spacing w:before="0" w:after="0"/>
        <w:ind w:left="0" w:right="0" w:hanging="0"/>
        <w:rPr/>
      </w:pPr>
      <w:r>
        <w:rPr/>
        <w:t>​</w:t>
      </w:r>
    </w:p>
    <w:tbl>
      <w:tblPr>
        <w:tblW w:w="6238" w:type="dxa"/>
        <w:jc w:val="left"/>
        <w:tblInd w:w="0" w:type="dxa"/>
        <w:tblCellMar>
          <w:top w:w="0" w:type="dxa"/>
          <w:left w:w="0" w:type="dxa"/>
          <w:bottom w:w="0" w:type="dxa"/>
          <w:right w:w="0" w:type="dxa"/>
        </w:tblCellMar>
      </w:tblPr>
      <w:tblGrid>
        <w:gridCol w:w="1741"/>
        <w:gridCol w:w="326"/>
        <w:gridCol w:w="1321"/>
        <w:gridCol w:w="326"/>
        <w:gridCol w:w="1111"/>
        <w:gridCol w:w="361"/>
        <w:gridCol w:w="736"/>
        <w:gridCol w:w="316"/>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05535" cy="175260"/>
                      <wp:effectExtent l="0" t="0" r="0" b="0"/>
                      <wp:wrapNone/>
                      <wp:docPr id="197" name="Frame189"/>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838835" cy="175260"/>
                      <wp:effectExtent l="0" t="0" r="0" b="0"/>
                      <wp:wrapNone/>
                      <wp:docPr id="199" name="Frame191"/>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05485" cy="175260"/>
                      <wp:effectExtent l="0" t="0" r="0" b="0"/>
                      <wp:wrapNone/>
                      <wp:docPr id="201" name="Frame193"/>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9235" cy="175260"/>
                      <wp:effectExtent l="0" t="0" r="0" b="0"/>
                      <wp:wrapNone/>
                      <wp:docPr id="202" name="Frame19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67360" cy="175260"/>
                      <wp:effectExtent l="0" t="0" r="0" b="0"/>
                      <wp:wrapNone/>
                      <wp:docPr id="203" name="Frame195"/>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0660" cy="175260"/>
                      <wp:effectExtent l="0" t="0" r="0" b="0"/>
                      <wp:wrapNone/>
                      <wp:docPr id="204" name="Frame19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w:t>
            </w:r>
          </w:p>
        </w:tc>
        <w:tc>
          <w:tcPr>
            <w:tcW w:w="361"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Lack of</w:t>
            </w:r>
          </w:p>
        </w:tc>
        <w:tc>
          <w:tcPr>
            <w:tcW w:w="361"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Marketability</w:t>
            </w:r>
          </w:p>
        </w:tc>
        <w:tc>
          <w:tcPr>
            <w:tcW w:w="361"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w:t>
            </w:r>
          </w:p>
        </w:tc>
        <w:tc>
          <w:tcPr>
            <w:tcW w:w="316" w:type="dxa"/>
            <w:tcBorders/>
            <w:shd w:fill="auto" w:val="clear"/>
            <w:vAlign w:val="center"/>
          </w:tcPr>
          <w:p>
            <w:pPr>
              <w:pStyle w:val="TableContents"/>
              <w:spacing w:before="0" w:after="0"/>
              <w:ind w:left="0" w:right="0" w:hanging="0"/>
              <w:jc w:val="center"/>
              <w:rPr/>
            </w:pPr>
            <w:r>
              <w:rPr/>
              <w:t> </w:t>
            </w:r>
          </w:p>
        </w:tc>
      </w:tr>
      <w:tr>
        <w:trPr/>
        <w:tc>
          <w:tcPr>
            <w:tcW w:w="17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Date</w:t>
            </w:r>
          </w:p>
        </w:tc>
        <w:tc>
          <w:tcPr>
            <w:tcW w:w="326" w:type="dxa"/>
            <w:tcBorders/>
            <w:shd w:fill="auto" w:val="clear"/>
            <w:vAlign w:val="center"/>
          </w:tcPr>
          <w:p>
            <w:pPr>
              <w:pStyle w:val="TableContents"/>
              <w:spacing w:before="0" w:after="0"/>
              <w:ind w:left="0" w:right="0" w:hanging="0"/>
              <w:jc w:val="center"/>
              <w:rPr/>
            </w:pPr>
            <w:r>
              <w:rPr/>
              <w:t>​</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shd w:fill="auto" w:val="clear"/>
            <w:vAlign w:val="center"/>
          </w:tcPr>
          <w:p>
            <w:pPr>
              <w:pStyle w:val="TableContents"/>
              <w:spacing w:before="0" w:after="0"/>
              <w:ind w:left="0" w:right="0" w:hanging="0"/>
              <w:jc w:val="center"/>
              <w:rPr/>
            </w:pPr>
            <w:r>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(DLOM)</w:t>
            </w:r>
          </w:p>
        </w:tc>
        <w:tc>
          <w:tcPr>
            <w:tcW w:w="361" w:type="dxa"/>
            <w:tcBorders/>
            <w:shd w:fill="auto" w:val="clear"/>
            <w:vAlign w:val="center"/>
          </w:tcPr>
          <w:p>
            <w:pPr>
              <w:pStyle w:val="TableContents"/>
              <w:spacing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shd w:fill="auto" w:val="clear"/>
            <w:vAlign w:val="center"/>
          </w:tcPr>
          <w:p>
            <w:pPr>
              <w:pStyle w:val="TableContents"/>
              <w:spacing w:before="0" w:after="0"/>
              <w:ind w:left="0" w:right="0" w:hanging="0"/>
              <w:jc w:val="center"/>
              <w:rPr/>
            </w:pPr>
            <w:r>
              <w:rPr/>
              <w:t> </w:t>
            </w:r>
          </w:p>
        </w:tc>
      </w:tr>
      <w:tr>
        <w:trPr/>
        <w:tc>
          <w:tcPr>
            <w:tcW w:w="1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June 30, 2020</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September 30, 2020</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2020</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2021</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20.96</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30, 2021</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21.06</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2021</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31.74</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June 30, 2022</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determining the fair value of our ordinary shares, we applied the income approach as the primary approach based on our discounted future cash flow using our best estimate as of the valuation date. The determination of the fair value of our ordinary shares requires complex and subjective judgments to be made regarding our future financial and operating results, our unique business risks, the liquidity of our shares and our operating history and prospects at the time of valuation.</w:t>
      </w:r>
    </w:p>
    <w:p>
      <w:pPr>
        <w:pStyle w:val="TextBody"/>
        <w:spacing w:before="0" w:after="12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left"/>
        <w:rPr>
          <w:rFonts w:ascii="Times New Roman;Times;serif" w:hAnsi="Times New Roman;Times;serif"/>
          <w:sz w:val="20"/>
        </w:rPr>
      </w:pPr>
      <w:bookmarkStart w:id="36" w:name="ITEM6DIRECTORSSENIORMANAGEMENTANDEMPLOYE"/>
      <w:bookmarkStart w:id="37" w:name="_c7f7eaef_03a0_4cc3_a4e1_0275134f864d"/>
      <w:bookmarkEnd w:id="36"/>
      <w:bookmarkEnd w:id="37"/>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tbl>
      <w:tblPr>
        <w:tblW w:w="3512" w:type="dxa"/>
        <w:jc w:val="left"/>
        <w:tblInd w:w="0" w:type="dxa"/>
        <w:tblCellMar>
          <w:top w:w="0" w:type="dxa"/>
          <w:left w:w="0" w:type="dxa"/>
          <w:bottom w:w="0" w:type="dxa"/>
          <w:right w:w="0" w:type="dxa"/>
        </w:tblCellMar>
      </w:tblPr>
      <w:tblGrid>
        <w:gridCol w:w="451"/>
        <w:gridCol w:w="3061"/>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6.A.</w:t>
            </w:r>
          </w:p>
        </w:tc>
        <w:tc>
          <w:tcPr>
            <w:tcW w:w="306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Directors and Senior Management</w:t>
            </w:r>
          </w:p>
        </w:tc>
      </w:tr>
    </w:tbl>
    <w:p>
      <w:pPr>
        <w:pStyle w:val="TextBody"/>
        <w:spacing w:before="0" w:after="0"/>
        <w:ind w:left="0" w:right="0" w:firstLine="400"/>
        <w:jc w:val="both"/>
        <w:rPr>
          <w:rFonts w:ascii="Times New Roman;Times;serif" w:hAnsi="Times New Roman;Times;serif"/>
          <w:sz w:val="20"/>
        </w:rPr>
      </w:pPr>
      <w:r>
        <w:rPr>
          <w:rFonts w:ascii="Times New Roman;Times;serif" w:hAnsi="Times New Roman;Times;serif"/>
          <w:sz w:val="20"/>
        </w:rPr>
        <w:t>The following table sets forth information regarding our executive officers and directors as of the date of this annual report.</w:t>
      </w:r>
    </w:p>
    <w:p>
      <w:pPr>
        <w:pStyle w:val="TextBody"/>
        <w:spacing w:before="0" w:after="0"/>
        <w:ind w:left="0" w:right="0" w:hanging="0"/>
        <w:rPr/>
      </w:pPr>
      <w:r>
        <w:rPr/>
        <w:t>​</w:t>
      </w:r>
    </w:p>
    <w:tbl>
      <w:tblPr>
        <w:tblW w:w="9295" w:type="dxa"/>
        <w:jc w:val="left"/>
        <w:tblInd w:w="0" w:type="dxa"/>
        <w:tblCellMar>
          <w:top w:w="0" w:type="dxa"/>
          <w:left w:w="0" w:type="dxa"/>
          <w:bottom w:w="0" w:type="dxa"/>
          <w:right w:w="0" w:type="dxa"/>
        </w:tblCellMar>
      </w:tblPr>
      <w:tblGrid>
        <w:gridCol w:w="2491"/>
        <w:gridCol w:w="326"/>
        <w:gridCol w:w="391"/>
        <w:gridCol w:w="326"/>
        <w:gridCol w:w="576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81785" cy="175260"/>
                      <wp:effectExtent l="0" t="0" r="0" b="0"/>
                      <wp:wrapNone/>
                      <wp:docPr id="205" name="Frame197"/>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48285" cy="175260"/>
                      <wp:effectExtent l="0" t="0" r="0" b="0"/>
                      <wp:wrapNone/>
                      <wp:docPr id="207" name="Frame199"/>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658235" cy="175260"/>
                      <wp:effectExtent l="0" t="0" r="0" b="0"/>
                      <wp:wrapNone/>
                      <wp:docPr id="209" name="Frame201"/>
                      <a:graphic xmlns:a="http://schemas.openxmlformats.org/drawingml/2006/main">
                        <a:graphicData uri="http://schemas.microsoft.com/office/word/2010/wordprocessingShape">
                          <wps:wsp>
                            <wps:cNvSpPr txBox="1"/>
                            <wps:spPr>
                              <a:xfrm>
                                <a:off x="0" y="0"/>
                                <a:ext cx="3658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shd w:fill="auto" w:val="clear"/>
            <w:vAlign w:val="center"/>
          </w:tcPr>
          <w:p>
            <w:pPr>
              <w:pStyle w:val="TableContents"/>
              <w:spacing w:before="0" w:after="0"/>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0"/>
              <w:ind w:left="0" w:right="0" w:hanging="0"/>
              <w:jc w:val="center"/>
              <w:rPr/>
            </w:pPr>
            <w:r>
              <w:rPr/>
              <w:t>    </w:t>
            </w:r>
          </w:p>
        </w:tc>
        <w:tc>
          <w:tcPr>
            <w:tcW w:w="57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Haijun Wang</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spacing w:before="0" w:after="0"/>
              <w:ind w:left="0" w:right="0" w:hanging="0"/>
              <w:rPr/>
            </w:pPr>
            <w:r>
              <w:rPr/>
              <w:t> </w:t>
            </w:r>
          </w:p>
        </w:tc>
        <w:tc>
          <w:tcPr>
            <w:tcW w:w="5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Founder, Chairman of Board of Directors and Chief Executive Officer</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Rui Zhao</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 </w:t>
            </w:r>
          </w:p>
        </w:tc>
        <w:tc>
          <w:tcPr>
            <w:tcW w:w="5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Co-Chief Financial Officer</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Shoudong Wang</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 </w:t>
            </w:r>
          </w:p>
        </w:tc>
        <w:tc>
          <w:tcPr>
            <w:tcW w:w="5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Co-Chief Financial Officer</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Lu</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 </w:t>
            </w:r>
          </w:p>
        </w:tc>
        <w:tc>
          <w:tcPr>
            <w:tcW w:w="5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 Senior Vice President</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Gang Chen</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pPr>
            <w:r>
              <w:rPr/>
              <w:t> </w:t>
            </w:r>
          </w:p>
        </w:tc>
        <w:tc>
          <w:tcPr>
            <w:tcW w:w="5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Co-Chief Operating Officer</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Xun Zhang</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0"/>
              <w:ind w:left="0" w:right="0" w:hanging="0"/>
              <w:rPr/>
            </w:pPr>
            <w:r>
              <w:rPr/>
              <w:t> </w:t>
            </w:r>
          </w:p>
        </w:tc>
        <w:tc>
          <w:tcPr>
            <w:tcW w:w="5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Co-Chief Operating Officer</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Lijun Gao</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 </w:t>
            </w:r>
          </w:p>
        </w:tc>
        <w:tc>
          <w:tcPr>
            <w:tcW w:w="5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 Chief Compliance Officer</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Shiwei Zhou</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 </w:t>
            </w:r>
          </w:p>
        </w:tc>
        <w:tc>
          <w:tcPr>
            <w:tcW w:w="5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Hongbin Zhou</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0"/>
              <w:ind w:left="0" w:right="0" w:hanging="0"/>
              <w:rPr/>
            </w:pPr>
            <w:r>
              <w:rPr/>
              <w:t> </w:t>
            </w:r>
          </w:p>
        </w:tc>
        <w:tc>
          <w:tcPr>
            <w:tcW w:w="5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Chao Zhang</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pPr>
            <w:r>
              <w:rPr/>
              <w:t> </w:t>
            </w:r>
          </w:p>
        </w:tc>
        <w:tc>
          <w:tcPr>
            <w:tcW w:w="5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Cong Lin</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spacing w:before="0" w:after="0"/>
              <w:ind w:left="0" w:right="0" w:hanging="0"/>
              <w:rPr/>
            </w:pPr>
            <w:r>
              <w:rPr/>
              <w:t> </w:t>
            </w:r>
          </w:p>
        </w:tc>
        <w:tc>
          <w:tcPr>
            <w:tcW w:w="5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 Wang</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 </w:t>
            </w:r>
          </w:p>
        </w:tc>
        <w:tc>
          <w:tcPr>
            <w:tcW w:w="5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bl>
    <w:p>
      <w:pPr>
        <w:pStyle w:val="TextBody"/>
        <w:spacing w:before="0" w:after="0"/>
        <w:ind w:left="0" w:right="0" w:hanging="0"/>
        <w:rPr/>
      </w:pPr>
      <w:r>
        <w:rPr/>
        <w:t>​</w:t>
      </w:r>
    </w:p>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Haijun Wang</w:t>
      </w:r>
      <w:r>
        <w:rPr>
          <w:rFonts w:ascii="Times New Roman;Times;serif" w:hAnsi="Times New Roman;Times;serif"/>
          <w:sz w:val="20"/>
        </w:rPr>
        <w:t> is our founder and has served as our Chairman of Board of Directors and Chief Executive Officer since 2013. Prior to founding Atour in 2013, Mr. Wang served as the executive vice president of China Lodging Group, Limited, currently known as Huazhu Group Ltd., a company listed on Nasdaq under the ticker symbol of “HTHT” and the Hong Kong Stock Exchange under the stock code of “1179.” Prior to joining Huazhu in 2005, Mr. Wang worked for Home Inns, Jinjiang Inn, as well as other reputable hotel companies. As the founder of Atour, the first upper midscale lifestyle hotel chain in China, Mr. Wang is a well-respected industry veteran with extensive hotel development and management experience. Mr. Wang was recognized as a leader in various industry leadership lists, including the List of the Most Innovative Business Figures in China, the List of 40 Leaders of China’s Hospitality Industry within the Past 40 Years, the List of the Most Innovative Figures in China’s Travel Industry. Mr. Wang graduated from Yanshan University and received his EMBA degree from the China Europe International Business School.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Ms. Rui Zhao</w:t>
      </w:r>
      <w:r>
        <w:rPr>
          <w:rFonts w:ascii="Times New Roman;Times;serif" w:hAnsi="Times New Roman;Times;serif"/>
          <w:sz w:val="20"/>
        </w:rPr>
        <w:t> has served as our Chief Financial Officer from 2016 to 2021 and our Co-Chief Financial Officer since 2021. From 2014 to 2016, Ms. Zhao served as the head of strategic investment department of Qunar.com, a leading online travel agency in China. From 2010 to 2014, Ms. Zhao served as a vice president of Yonghua Capital, a private equity firm. Ms. Zhao graduated from Tsinghua University and received her MBA degree from Tsinghua University.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Shoudong Wang</w:t>
      </w:r>
      <w:r>
        <w:rPr>
          <w:rFonts w:ascii="Times New Roman;Times;serif" w:hAnsi="Times New Roman;Times;serif"/>
          <w:sz w:val="20"/>
        </w:rPr>
        <w:t> has served as our Co-Chief Financial Officer since 2021. Prior to joining us, Mr. Wang served in various positions for TANSH Global Food Group Co., Ltd., a company listed on the Hong Kong Stock Exchange under the stock code of “3666.” Mr. Wang served as the chief financial officer of TANSH Global Group Co., Ltd. from 2019 to 2020. During 2011 to 2016, Mr. Wang was in charge of the management of finance, legal affairs and internal audit at TANSH Global Group Co., Ltd. and also served as board secretary and joint company secretary. Previously, Mr. Wang served in the finance department of Best Buy Commercial (Shanghai) Co., Ltd. and Dazhong Transportation (Group) Co., Ltd., a company listed on the Shanghai Stock Exchange under the stock code of “600611.” Mr. Wang graduated from Fudan University, and received his master’s degree in business administration from Fudan University.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Hong Lu</w:t>
      </w:r>
      <w:r>
        <w:rPr>
          <w:rFonts w:ascii="Times New Roman;Times;serif" w:hAnsi="Times New Roman;Times;serif"/>
          <w:sz w:val="20"/>
        </w:rPr>
        <w:t> has served as our Senior Vice President in charge of corporate strategies, internal control and investor relations and a director since 2021. Mr. Lu joined us in 2019 and served as a Vice President from 2019 to 2020. Previously, Mr. Lu served as a vice president and the board secretary of Xiamen 35.com Technology, a company listed on the Shenzhen Stock Exchange under the stock code of “300051,” a vice president and the board secretary of Shandong Zhongji Electrical Equipment Co., Ltd., a company listed on Shenzhen Stock Exchange under the stock code of “300308,” and the board secretary of Guangzhou Goaland Energy Conservation Tech. Co., Ltd., a company listed on the Shenzhen Stock Exchange under the stock code of “300499.” Mr. Lu graduated from Fuzhou University and received his MBA degree from the New York Institute of Technology.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Gang Chen</w:t>
      </w:r>
      <w:r>
        <w:rPr>
          <w:rFonts w:ascii="Times New Roman;Times;serif" w:hAnsi="Times New Roman;Times;serif"/>
          <w:sz w:val="20"/>
        </w:rPr>
        <w:t> has served as our Co-Chief Operating Officer since 2022. Mr. Chen joined us as a Vice President in 2018 and was then promoted to a Senior Vice President in 2019. Previously, Mr. Chen served as a vice president of Zhuyou Hotel Management Co., Ltd. Mr. Chen graduated from Zhejiang Gongshang University.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Xun Zhang</w:t>
      </w:r>
      <w:r>
        <w:rPr>
          <w:rFonts w:ascii="Times New Roman;Times;serif" w:hAnsi="Times New Roman;Times;serif"/>
          <w:sz w:val="20"/>
        </w:rPr>
        <w:t> has served as our Chief Operating Officer since 2021 and our Co-Chief Operating Officer since 2022. Mr. Zhang joined us in 2013 and held various positions successively from 2013 to 2021, including regional general manager, chief operating officer of our hotel business unit, chief customer officer and head of chief executive officer’s office. Mr. Zhang brought us extensive hotel development and management experience. Prior to joining Atour from 2007 to 2013, Mr. Zhang served as hotel manager and regional manager for China Lodging Group, Limited, currently known as Huazhu Group Ltd., a company listed on Nasdaq under the ticker symbol of “HTHT” and the Hong Kong Stock Exchange under the stock code of “1179.” Previously, Mr. Zhang also worked for multiple reputable local resort hotels in Chongqing, China. Mr. Zhang graduated from Chongqing University of Technology.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Ms. Lijun Gao</w:t>
      </w:r>
      <w:r>
        <w:rPr>
          <w:rFonts w:ascii="Times New Roman;Times;serif" w:hAnsi="Times New Roman;Times;serif"/>
          <w:sz w:val="20"/>
        </w:rPr>
        <w:t> has served as our Chief Compliance Officer since 2023 and a director since 2021. Ms. Gao joined us in 2013 and served as our general counsel from January 2015 to October 2018 and as our Vice President in charge of legal matters from January 2018 to December 2022. Ms. Gao contributes more than a decade of experience in the practice of law and is specialized in corporate finance, risk management, and regulatory compliance. Ms. Gao graduated from Shanghai Normal University.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Shiwei Zhou</w:t>
      </w:r>
      <w:r>
        <w:rPr>
          <w:rFonts w:ascii="Times New Roman;Times;serif" w:hAnsi="Times New Roman;Times;serif"/>
          <w:sz w:val="20"/>
        </w:rPr>
        <w:t> currently serves as our director. Mr. Zhou has also served as a vice president of Trip.com Group Ltd. since 2015. Mr. Zhou is also a director of Luxuriant Holdings Limited, Teamsport Topco Limited and Tuniu Corporation. Mr. Zhou graduated from Tongji University. He received his Master of Science degree in Structural Engineering from Columbia University and his MBA degree from University of Southern California.</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Hongbin Zhou</w:t>
      </w:r>
      <w:r>
        <w:rPr>
          <w:rFonts w:ascii="Times New Roman;Times;serif" w:hAnsi="Times New Roman;Times;serif"/>
          <w:sz w:val="20"/>
        </w:rPr>
        <w:t> currently serves as our director. Mr. Zhou has also been working at Legend Capital Management Co., Ltd. since 2005, and currently serves as its managing director. Mr. Zhou is also a director of Jiangsu Lihua Livestock Co., Ltd., Beijing Chemclin Diagnostics Co., Ltd., Milkway Chemical Engineering Supply Chain Service Co., Ltd., Pharmaron (Beijing) Pharmaceutical Technology Co., Ltd. and Jiangsu Rec-Biotechnology Co., Ltd. Mr. Zhou graduated from Wuhan University and received his doctor’s degree in Business Administration from Fudan University.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Ms. Chao Zhang</w:t>
      </w:r>
      <w:r>
        <w:rPr>
          <w:rFonts w:ascii="Times New Roman;Times;serif" w:hAnsi="Times New Roman;Times;serif"/>
          <w:sz w:val="20"/>
        </w:rPr>
        <w:t> has served as our director since November 2022. Ms. Zhang has been a professor in Beijing International Studies University since 2015. Ms. Zhang graduated from Yanshan University and received her master’s degree in Tourism Administration from Nankai University and her doctor’s degree in Regional Economics from Peking University.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Cong Lin</w:t>
      </w:r>
      <w:r>
        <w:rPr>
          <w:rFonts w:ascii="Times New Roman;Times;serif" w:hAnsi="Times New Roman;Times;serif"/>
          <w:sz w:val="20"/>
        </w:rPr>
        <w:t> has served as our director since November 2022. Previously, Mr. Lin had served as a senior vice president at Marriott International China between 2003 and 2020. Mr. Lin graduated from Beijing Union University.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i/>
          <w:sz w:val="20"/>
        </w:rPr>
        <w:t>Mr. Can Wang</w:t>
      </w:r>
      <w:r>
        <w:rPr>
          <w:rFonts w:ascii="Times New Roman;Times;serif" w:hAnsi="Times New Roman;Times;serif"/>
          <w:sz w:val="20"/>
        </w:rPr>
        <w:t> has served as our director since November 2022. Mr. Wang has been appointed as the chief financial officer of New Hope Group Co. Ltd since 2022. Mr. Wang has also been a director at Health and Happiness International Holdings Limited from 2020 to 2023. Mr. Wang has also served in various senior management roles, including chief financial officer, chief growth officer and executive director, at Fosun International from 2012 to 2020. Mr. Wang is a non-practicing member of Chinese Institute of Certified Public Accountants (CICPA) and a member of The Association of International Accountants (AIA) and the Association of Chartered Certified Accountants (ACCA), and has been appointed as Deputy President of China Association of Chief Financial Officers on 2021. Mr. Wang graduated from Anhui University in 1997 and received his MBA degree from China Europe International Business School.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Board Diversity Statistics</w:t>
      </w:r>
    </w:p>
    <w:p>
      <w:pPr>
        <w:pStyle w:val="TextBody"/>
        <w:spacing w:before="0" w:after="0"/>
        <w:ind w:left="0" w:right="0" w:hanging="0"/>
        <w:rPr/>
      </w:pPr>
      <w:r>
        <w:rPr/>
        <w:t>​</w:t>
      </w:r>
    </w:p>
    <w:tbl>
      <w:tblPr>
        <w:tblW w:w="7400" w:type="dxa"/>
        <w:jc w:val="left"/>
        <w:tblInd w:w="0" w:type="dxa"/>
        <w:tblCellMar>
          <w:top w:w="0" w:type="dxa"/>
          <w:left w:w="0" w:type="dxa"/>
          <w:bottom w:w="0" w:type="dxa"/>
          <w:right w:w="0" w:type="dxa"/>
        </w:tblCellMar>
      </w:tblPr>
      <w:tblGrid>
        <w:gridCol w:w="4306"/>
        <w:gridCol w:w="646"/>
        <w:gridCol w:w="481"/>
        <w:gridCol w:w="1021"/>
        <w:gridCol w:w="946"/>
      </w:tblGrid>
      <w:tr>
        <w:trPr/>
        <w:tc>
          <w:tcPr>
            <w:tcW w:w="430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26" w:right="0" w:hanging="0"/>
              <w:rPr/>
            </w:pPr>
            <w:r>
              <w:rPr/>
              <w:t>​</w:t>
            </w:r>
          </w:p>
          <w:p>
            <w:pPr>
              <w:pStyle w:val="TableContents"/>
              <w:spacing w:before="0" w:after="0"/>
              <w:ind w:left="0" w:right="0" w:hanging="0"/>
              <w:rPr/>
            </w:pPr>
            <w:r>
              <w:rPr/>
              <w:t>​</w:t>
            </w:r>
          </w:p>
        </w:tc>
        <w:tc>
          <w:tcPr>
            <w:tcW w:w="946" w:type="dxa"/>
            <w:tcBorders/>
            <w:shd w:fill="auto" w:val="clear"/>
            <w:vAlign w:val="center"/>
          </w:tcPr>
          <w:p>
            <w:pPr>
              <w:pStyle w:val="TableContents"/>
              <w:spacing w:before="0" w:after="283"/>
              <w:ind w:left="0" w:right="0" w:hanging="0"/>
              <w:rPr>
                <w:sz w:val="4"/>
                <w:szCs w:val="4"/>
              </w:rPr>
            </w:pPr>
            <w:r>
              <w:rPr>
                <w:sz w:val="4"/>
                <w:szCs w:val="4"/>
              </w:rPr>
            </w:r>
          </w:p>
        </w:tc>
      </w:tr>
      <w:tr>
        <w:trPr/>
        <w:tc>
          <w:tcPr>
            <w:tcW w:w="7400" w:type="dxa"/>
            <w:gridSpan w:val="5"/>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44"/>
              <w:ind w:left="0" w:right="0" w:hanging="0"/>
              <w:jc w:val="center"/>
              <w:rPr>
                <w:rFonts w:ascii="Times New Roman;Times;serif" w:hAnsi="Times New Roman;Times;serif"/>
                <w:b/>
                <w:sz w:val="18"/>
              </w:rPr>
            </w:pPr>
            <w:r>
              <w:rPr>
                <w:rFonts w:ascii="Times New Roman;Times;serif" w:hAnsi="Times New Roman;Times;serif"/>
                <w:b/>
                <w:sz w:val="18"/>
              </w:rPr>
              <w:t>Board Diversity Matrix</w:t>
            </w:r>
          </w:p>
          <w:p>
            <w:pPr>
              <w:pStyle w:val="TableContents"/>
              <w:spacing w:before="0" w:after="44"/>
              <w:ind w:left="0" w:right="0" w:hanging="0"/>
              <w:jc w:val="center"/>
              <w:rPr/>
            </w:pPr>
            <w:r>
              <w:rPr/>
              <w:t>​</w:t>
            </w:r>
            <w:r>
              <w:rPr>
                <w:rFonts w:ascii="Times New Roman;Times;serif" w:hAnsi="Times New Roman;Times;serif"/>
                <w:b/>
                <w:sz w:val="18"/>
              </w:rPr>
              <w:br/>
              <w:t>(As of Date of this Annual Report)</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Country of Principal Executive Offices</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The People's Republic of China</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Foreign Private Issuer</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Yes</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Disclosure Prohibited Under Home Country Law</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Number of Directors</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8</w:t>
            </w:r>
          </w:p>
        </w:tc>
      </w:tr>
      <w:tr>
        <w:trPr/>
        <w:tc>
          <w:tcPr>
            <w:tcW w:w="430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rPr/>
            </w:pPr>
            <w:r>
              <w:rPr/>
              <w:t>​</w:t>
            </w:r>
          </w:p>
        </w:tc>
        <w:tc>
          <w:tcPr>
            <w:tcW w:w="64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rPr/>
            </w:pPr>
            <w:r>
              <w:rPr/>
              <w:t>​</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Female</w:t>
            </w:r>
          </w:p>
        </w:tc>
        <w:tc>
          <w:tcPr>
            <w:tcW w:w="481"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rPr/>
            </w:pPr>
            <w:r>
              <w:rPr/>
              <w:t>​</w:t>
            </w:r>
          </w:p>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Male</w:t>
            </w:r>
          </w:p>
        </w:tc>
        <w:tc>
          <w:tcPr>
            <w:tcW w:w="1021"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rPr/>
            </w:pPr>
            <w:r>
              <w:rPr/>
              <w:t>​</w:t>
            </w:r>
          </w:p>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Non-Binary</w:t>
            </w:r>
          </w:p>
        </w:tc>
        <w:tc>
          <w:tcPr>
            <w:tcW w:w="94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jc w:val="both"/>
              <w:rPr>
                <w:rFonts w:ascii="Times New Roman;Times;serif" w:hAnsi="Times New Roman;Times;serif"/>
                <w:b/>
                <w:sz w:val="18"/>
              </w:rPr>
            </w:pPr>
            <w:r>
              <w:rPr>
                <w:rFonts w:ascii="Times New Roman;Times;serif" w:hAnsi="Times New Roman;Times;serif"/>
                <w:b/>
                <w:sz w:val="18"/>
              </w:rPr>
              <w:t xml:space="preserve">Did    Not </w:t>
              <w:br/>
              <w:t>Disclose</w:t>
              <w:br/>
              <w:t>Gender</w:t>
            </w:r>
          </w:p>
        </w:tc>
      </w:tr>
      <w:tr>
        <w:trPr/>
        <w:tc>
          <w:tcPr>
            <w:tcW w:w="7400" w:type="dxa"/>
            <w:gridSpan w:val="5"/>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Part I: Gender Identity</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Directors</w:t>
            </w:r>
          </w:p>
        </w:tc>
        <w:tc>
          <w:tcPr>
            <w:tcW w:w="64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2</w:t>
            </w:r>
          </w:p>
        </w:tc>
        <w:tc>
          <w:tcPr>
            <w:tcW w:w="48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6</w:t>
            </w:r>
          </w:p>
        </w:tc>
        <w:tc>
          <w:tcPr>
            <w:tcW w:w="102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c>
          <w:tcPr>
            <w:tcW w:w="94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r>
        <w:trPr/>
        <w:tc>
          <w:tcPr>
            <w:tcW w:w="7400" w:type="dxa"/>
            <w:gridSpan w:val="5"/>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Part II: Demographic Background</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Underrepresented Individual in Home Country Jurisdiction</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LGBTQ+</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0</w:t>
            </w:r>
          </w:p>
        </w:tc>
      </w:tr>
      <w:tr>
        <w:trPr/>
        <w:tc>
          <w:tcPr>
            <w:tcW w:w="430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Did Not Disclose Demographic Background</w:t>
            </w:r>
          </w:p>
        </w:tc>
        <w:tc>
          <w:tcPr>
            <w:tcW w:w="3094"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r>
    </w:tbl>
    <w:p>
      <w:pPr>
        <w:pStyle w:val="TextBody"/>
        <w:spacing w:before="0" w:after="0"/>
        <w:ind w:left="0" w:right="0" w:hanging="0"/>
        <w:jc w:val="both"/>
        <w:rPr/>
      </w:pPr>
      <w:r>
        <w:rPr/>
        <w:t>​</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6.B. Compensation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2022, we paid an aggregate of RMB14.1 million (US$2.0 million) in cash to our executive officers and directors.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“Item 6. Directors, Senior Management and Employees—6. B. Compensation—Share Incentive Plans.”</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Each of our executive officers is employed for an indefinite term, unless terminated pursuant to the terms of the agreements or as mutually agreed by the parties thereto. We may terminate an executive officer’s employment for cause at any time without advance notice in certain events. We may terminate an executive officer’s employment by giving a prior written notice or by paying certain unpaid compensation. An executive officer may terminate his or her employment at any time by giving a prior written notice.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a specific period of time following the last date of employment.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2017 PRC Incentive Plan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2017, our PRC subsidiary Atour Shanghai adopted the 2017 Share Incentive Plan, or the 2017 PRC Plan. In 2021, we adopted the Public Company Share Incentive Plan, or the Public Company Plan, at the Cayman Islands’ level in preparation for our initial public offering, to replace the 2017 PRC Plan. Under the 2017 PRC Plan, Atour Shanghai had granted a total of 14,196,882 share based awards, representing the corresponding amount of equity interests of Atour Shanghai to certain of its officers, employees and consultants. All of the outstanding and unvested awards under the 2017 PRC Plan were replaced by the share options granted under, and governed by the terms and conditions of, the Public Company Plan in April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Public Company Plan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adopted the Public Company Share Incentive Plan, or the Public Company Plan, in 2021 in preparation for our initial public offering, to replace the 2017 PRC Plan. The purpose of the Public Company Plan is to recognize and reward participants for their contribution to our company, to attract suitable personnel and to provide incentives to them to remain with and further contribute to us.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Public Company Plan, the maximum aggregate number of ordinary shares we are authorized to issue pursuant to equity awards granted thereunder, subject to certain adjustments pursuant to the terms thereof, is 51,029,546 Class A ordinary shares, which have been reserved for issuance pursuant to the Public Company Plan accordingly. As of March 30, 2023, a total of 25,477,205 share options corresponding to 25,477,205 underlying Class A ordinary shares had been granted to the participants under the Public Company Plan.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paragraphs summarize the key terms of the Public Company Plan.</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Types of Awards.</w:t>
      </w:r>
      <w:r>
        <w:rPr>
          <w:rFonts w:ascii="Times New Roman;Times;serif" w:hAnsi="Times New Roman;Times;serif"/>
          <w:sz w:val="20"/>
        </w:rPr>
        <w:t>    The Public Company Plan permits the awards of options, restricted stock, restricted stock unit and other stock-based award.</w:t>
      </w:r>
    </w:p>
    <w:p>
      <w:pPr>
        <w:pStyle w:val="TextBody"/>
        <w:spacing w:before="0" w:after="200"/>
        <w:ind w:left="0" w:right="0" w:firstLine="403"/>
        <w:jc w:val="both"/>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The Public Company Plan shall be solely administrated by the board or its compensation committee, or the Administrator, in accordance with the terms and conditions of the Public Company Plan.</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Equity awards authorized under the Public Company Plan may be granted to any key employee, and any prospective key employee, director or consultant who has accepted an offer of employment, directorship or consultancy from us or our subsidiaries, or any other individual as designated and approved by the Administrator.</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Notice of Grant.</w:t>
      </w:r>
      <w:r>
        <w:rPr>
          <w:rFonts w:ascii="Times New Roman;Times;serif" w:hAnsi="Times New Roman;Times;serif"/>
          <w:sz w:val="20"/>
        </w:rPr>
        <w:t>    Each award under the Public Company Plan shall be evidenced by an award agreement to be entered into by the grantee and our company, in such form as the Administrator may from time to time determine.</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Conditions of Award.</w:t>
      </w:r>
      <w:r>
        <w:rPr>
          <w:rFonts w:ascii="Times New Roman;Times;serif" w:hAnsi="Times New Roman;Times;serif"/>
          <w:sz w:val="20"/>
        </w:rPr>
        <w:t>    The Administrator shall determine the provisions, terms, and conditions of each award including, but not limited to, eligible participant, vesting schedule, the lock-up arrangements upon vesting and other terms and conditions that the award is subject to.</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Unless the Administrator or our chief executive officer otherwise determines, no award and no right under any such award shall be assignable, alienable, saleable or transferable by a grantee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Voting Power and Dividend Right of Shares Issued Pursuant to the Public Company Plan.</w:t>
      </w:r>
      <w:r>
        <w:rPr>
          <w:rFonts w:ascii="Times New Roman;Times;serif" w:hAnsi="Times New Roman;Times;serif"/>
          <w:sz w:val="20"/>
        </w:rPr>
        <w:t>    Until the issuance of the shares, no grantee shall have any right to vote or receive dividends or any other rights with respect to such shares.</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Amendment of the Public Company Plan.</w:t>
      </w:r>
      <w:r>
        <w:rPr>
          <w:rFonts w:ascii="Times New Roman;Times;serif" w:hAnsi="Times New Roman;Times;serif"/>
          <w:sz w:val="20"/>
        </w:rPr>
        <w:t>    The Public Company Plan may be altered or amended in any respect by the board, except to the extent prohibited by applicable laws.</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Term of the Public Company Plan.</w:t>
      </w:r>
      <w:r>
        <w:rPr>
          <w:rFonts w:ascii="Times New Roman;Times;serif" w:hAnsi="Times New Roman;Times;serif"/>
          <w:sz w:val="20"/>
        </w:rPr>
        <w:t>    Unless otherwise determined by the Administrator, the term of the Public Company Plan shall be indefinite.</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Termination of the Public Company Plan.</w:t>
      </w:r>
      <w:r>
        <w:rPr>
          <w:rFonts w:ascii="Times New Roman;Times;serif" w:hAnsi="Times New Roman;Times;serif"/>
          <w:sz w:val="20"/>
        </w:rPr>
        <w:t>    The Public Company Plan may be suspended, discontinued or terminated by the board, except to the extent prohibited by applicable laws.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summarizes, as of March 30, 2023, the number of Class A ordinary shares under the options that we granted to our directors and executive officers:</w:t>
      </w:r>
    </w:p>
    <w:tbl>
      <w:tblPr>
        <w:tblW w:w="10205" w:type="dxa"/>
        <w:jc w:val="left"/>
        <w:tblInd w:w="0" w:type="dxa"/>
        <w:tblCellMar>
          <w:top w:w="0" w:type="dxa"/>
          <w:left w:w="0" w:type="dxa"/>
          <w:bottom w:w="0" w:type="dxa"/>
          <w:right w:w="0" w:type="dxa"/>
        </w:tblCellMar>
      </w:tblPr>
      <w:tblGrid>
        <w:gridCol w:w="2356"/>
        <w:gridCol w:w="326"/>
        <w:gridCol w:w="1441"/>
        <w:gridCol w:w="326"/>
        <w:gridCol w:w="1126"/>
        <w:gridCol w:w="326"/>
        <w:gridCol w:w="1966"/>
        <w:gridCol w:w="326"/>
        <w:gridCol w:w="2012"/>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96060" cy="175260"/>
                      <wp:effectExtent l="0" t="0" r="0" b="0"/>
                      <wp:wrapNone/>
                      <wp:docPr id="210" name="Frame202"/>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15035" cy="175260"/>
                      <wp:effectExtent l="0" t="0" r="0" b="0"/>
                      <wp:wrapNone/>
                      <wp:docPr id="212" name="Frame204"/>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15010" cy="175260"/>
                      <wp:effectExtent l="0" t="0" r="0" b="0"/>
                      <wp:wrapNone/>
                      <wp:docPr id="214" name="Frame206"/>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48410" cy="175260"/>
                      <wp:effectExtent l="0" t="0" r="0" b="0"/>
                      <wp:wrapNone/>
                      <wp:docPr id="216" name="Frame208"/>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77620" cy="175260"/>
                      <wp:effectExtent l="0" t="0" r="0" b="0"/>
                      <wp:wrapNone/>
                      <wp:docPr id="218" name="Frame210"/>
                      <a:graphic xmlns:a="http://schemas.openxmlformats.org/drawingml/2006/main">
                        <a:graphicData uri="http://schemas.microsoft.com/office/word/2010/wordprocessingShape">
                          <wps:wsp>
                            <wps:cNvSpPr txBox="1"/>
                            <wps:spPr>
                              <a:xfrm>
                                <a:off x="0" y="0"/>
                                <a:ext cx="1277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12" w:type="dxa"/>
            <w:tcBorders/>
            <w:shd w:fill="auto" w:val="clear"/>
            <w:vAlign w:val="center"/>
          </w:tcPr>
          <w:p>
            <w:pPr>
              <w:pStyle w:val="TableContents"/>
              <w:spacing w:before="0" w:after="0"/>
              <w:ind w:left="0" w:right="0" w:hanging="0"/>
              <w:jc w:val="center"/>
              <w:rPr/>
            </w:pPr>
            <w:r>
              <w:rPr/>
              <w:t>​</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Underlying</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12" w:type="dxa"/>
            <w:tcBorders/>
            <w:shd w:fill="auto" w:val="clear"/>
            <w:vAlign w:val="center"/>
          </w:tcPr>
          <w:p>
            <w:pPr>
              <w:pStyle w:val="TableContents"/>
              <w:spacing w:before="0" w:after="0"/>
              <w:ind w:left="0" w:right="0" w:hanging="0"/>
              <w:jc w:val="center"/>
              <w:rPr/>
            </w:pPr>
            <w:r>
              <w:rPr/>
              <w:t>​</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Awards</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0"/>
              <w:ind w:left="0" w:right="0" w:hanging="0"/>
              <w:jc w:val="center"/>
              <w:rPr/>
            </w:pPr>
            <w:r>
              <w:rPr/>
              <w:t>​</w:t>
            </w:r>
          </w:p>
        </w:tc>
        <w:tc>
          <w:tcPr>
            <w:tcW w:w="19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26" w:type="dxa"/>
            <w:tcBorders/>
            <w:shd w:fill="auto" w:val="clear"/>
            <w:vAlign w:val="center"/>
          </w:tcPr>
          <w:p>
            <w:pPr>
              <w:pStyle w:val="TableContents"/>
              <w:spacing w:before="0" w:after="0"/>
              <w:ind w:left="0" w:right="0" w:hanging="0"/>
              <w:jc w:val="center"/>
              <w:rPr/>
            </w:pPr>
            <w:r>
              <w:rPr/>
              <w:t>​</w:t>
            </w:r>
          </w:p>
        </w:tc>
        <w:tc>
          <w:tcPr>
            <w:tcW w:w="201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shd w:fill="auto" w:val="clear"/>
            <w:vAlign w:val="center"/>
          </w:tcPr>
          <w:p>
            <w:pPr>
              <w:pStyle w:val="TableContents"/>
              <w:spacing w:before="0" w:after="0"/>
              <w:ind w:left="0" w:right="0" w:hanging="0"/>
              <w:jc w:val="center"/>
              <w:rPr/>
            </w:pPr>
            <w:r>
              <w:rPr/>
              <w:t>    </w:t>
            </w:r>
          </w:p>
        </w:tc>
        <w:tc>
          <w:tcPr>
            <w:tcW w:w="196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Grant</w:t>
            </w:r>
            <w:r>
              <w:rPr>
                <w:rFonts w:ascii="Times New Roman;Times;serif" w:hAnsi="Times New Roman;Times;serif"/>
                <w:b/>
                <w:sz w:val="12"/>
              </w:rPr>
              <w:t>(1)</w:t>
            </w:r>
          </w:p>
        </w:tc>
        <w:tc>
          <w:tcPr>
            <w:tcW w:w="326" w:type="dxa"/>
            <w:tcBorders/>
            <w:shd w:fill="auto" w:val="clear"/>
            <w:vAlign w:val="center"/>
          </w:tcPr>
          <w:p>
            <w:pPr>
              <w:pStyle w:val="TableContents"/>
              <w:spacing w:before="0" w:after="0"/>
              <w:ind w:left="0" w:right="0" w:hanging="0"/>
              <w:jc w:val="center"/>
              <w:rPr/>
            </w:pPr>
            <w:r>
              <w:rPr/>
              <w:t>    </w:t>
            </w:r>
          </w:p>
        </w:tc>
        <w:tc>
          <w:tcPr>
            <w:tcW w:w="201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Executive Officers</w:t>
            </w:r>
          </w:p>
        </w:tc>
        <w:tc>
          <w:tcPr>
            <w:tcW w:w="326" w:type="dxa"/>
            <w:tcBorders/>
            <w:shd w:fill="CCEEFF" w:val="clear"/>
            <w:vAlign w:val="center"/>
          </w:tcPr>
          <w:p>
            <w:pPr>
              <w:pStyle w:val="TableContents"/>
              <w:spacing w:before="0" w:after="0"/>
              <w:ind w:left="0" w:right="0" w:hanging="0"/>
              <w:rPr/>
            </w:pPr>
            <w:r>
              <w:rPr/>
              <w:t>​</w:t>
            </w:r>
          </w:p>
        </w:tc>
        <w:tc>
          <w:tcPr>
            <w:tcW w:w="1441"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6"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012" w:type="dxa"/>
            <w:tcBorders>
              <w:top w:val="single" w:sz="2" w:space="0" w:color="000000"/>
            </w:tcBorders>
            <w:shd w:fill="CCEEFF" w:val="clear"/>
            <w:tcMar>
              <w:top w:w="28" w:type="dxa"/>
            </w:tcMar>
            <w:vAlign w:val="center"/>
          </w:tcPr>
          <w:p>
            <w:pPr>
              <w:pStyle w:val="TableContents"/>
              <w:spacing w:before="0" w:after="0"/>
              <w:ind w:left="0" w:right="0" w:hanging="0"/>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Haijun Wang</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4,000,000</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March 30, 2023</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March 29, 2033</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Rui Zhao</w:t>
            </w:r>
          </w:p>
        </w:tc>
        <w:tc>
          <w:tcPr>
            <w:tcW w:w="326" w:type="dxa"/>
            <w:tcBorders/>
            <w:shd w:fill="CCEEFF" w:val="clear"/>
            <w:vAlign w:val="center"/>
          </w:tcPr>
          <w:p>
            <w:pPr>
              <w:pStyle w:val="TableContents"/>
              <w:spacing w:before="0" w:after="0"/>
              <w:ind w:left="0" w:right="0" w:hanging="0"/>
              <w:rPr/>
            </w:pPr>
            <w:r>
              <w:rPr/>
              <w:t>​</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2, 2021 and November 16, 2022</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2031 and November 15, 2032</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Shoudong Wang</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November 16, 2022 and December 24, 2022</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November 15, 2032 and December 23, 2032</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Lu</w:t>
            </w:r>
          </w:p>
        </w:tc>
        <w:tc>
          <w:tcPr>
            <w:tcW w:w="326" w:type="dxa"/>
            <w:tcBorders/>
            <w:shd w:fill="CCEEFF" w:val="clear"/>
            <w:vAlign w:val="center"/>
          </w:tcPr>
          <w:p>
            <w:pPr>
              <w:pStyle w:val="TableContents"/>
              <w:spacing w:before="0" w:after="0"/>
              <w:ind w:left="0" w:right="0" w:hanging="0"/>
              <w:rPr/>
            </w:pPr>
            <w:r>
              <w:rPr/>
              <w:t>​</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4,300,000</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0.85-1.70</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2, 2021 and November 16, 2022</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2031 and November 15, 2032</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Gang Chen</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2, 2021 and June 27, 2022</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2031 and June 26, 2032</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Xun Zhang</w:t>
            </w:r>
          </w:p>
        </w:tc>
        <w:tc>
          <w:tcPr>
            <w:tcW w:w="326" w:type="dxa"/>
            <w:tcBorders/>
            <w:shd w:fill="CCEEFF" w:val="clear"/>
            <w:vAlign w:val="center"/>
          </w:tcPr>
          <w:p>
            <w:pPr>
              <w:pStyle w:val="TableContents"/>
              <w:spacing w:before="0" w:after="0"/>
              <w:ind w:left="0" w:right="0" w:hanging="0"/>
              <w:rPr/>
            </w:pPr>
            <w:r>
              <w:rPr/>
              <w:t>​</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15, 2021</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14, 2031</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Lijun Gao</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2, 2021 and December 24, 2022</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April 1, 2031 and December 23, 2032</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Non-Employee Directors</w:t>
            </w:r>
          </w:p>
        </w:tc>
        <w:tc>
          <w:tcPr>
            <w:tcW w:w="326" w:type="dxa"/>
            <w:tcBorders/>
            <w:shd w:fill="CCEEFF" w:val="clear"/>
            <w:vAlign w:val="center"/>
          </w:tcPr>
          <w:p>
            <w:pPr>
              <w:pStyle w:val="TableContents"/>
              <w:spacing w:before="0" w:after="0"/>
              <w:ind w:left="0" w:right="0" w:hanging="0"/>
              <w:rPr/>
            </w:pPr>
            <w:r>
              <w:rPr/>
              <w:t>​</w:t>
            </w:r>
          </w:p>
        </w:tc>
        <w:tc>
          <w:tcPr>
            <w:tcW w:w="14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Shiwei Zhou</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Hongbin Zhou</w:t>
            </w:r>
          </w:p>
        </w:tc>
        <w:tc>
          <w:tcPr>
            <w:tcW w:w="326" w:type="dxa"/>
            <w:tcBorders/>
            <w:shd w:fill="CCEEFF" w:val="clear"/>
            <w:vAlign w:val="center"/>
          </w:tcPr>
          <w:p>
            <w:pPr>
              <w:pStyle w:val="TableContents"/>
              <w:spacing w:before="0" w:after="0"/>
              <w:ind w:left="0" w:right="0" w:hanging="0"/>
              <w:rPr/>
            </w:pPr>
            <w:r>
              <w:rPr/>
              <w:t>​</w:t>
            </w:r>
          </w:p>
        </w:tc>
        <w:tc>
          <w:tcPr>
            <w:tcW w:w="14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Chao Zhang**</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Cong Lin**</w:t>
            </w:r>
          </w:p>
        </w:tc>
        <w:tc>
          <w:tcPr>
            <w:tcW w:w="326" w:type="dxa"/>
            <w:tcBorders/>
            <w:shd w:fill="CCEEFF" w:val="clear"/>
            <w:vAlign w:val="center"/>
          </w:tcPr>
          <w:p>
            <w:pPr>
              <w:pStyle w:val="TableContents"/>
              <w:spacing w:before="0" w:after="0"/>
              <w:ind w:left="0" w:right="0" w:hanging="0"/>
              <w:rPr/>
            </w:pPr>
            <w:r>
              <w:rPr/>
              <w:t>​</w:t>
            </w:r>
          </w:p>
        </w:tc>
        <w:tc>
          <w:tcPr>
            <w:tcW w:w="14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 Wang**</w:t>
            </w:r>
          </w:p>
        </w:tc>
        <w:tc>
          <w:tcPr>
            <w:tcW w:w="326" w:type="dxa"/>
            <w:tcBorders/>
            <w:shd w:fill="auto" w:val="clear"/>
            <w:vAlign w:val="center"/>
          </w:tcPr>
          <w:p>
            <w:pPr>
              <w:pStyle w:val="TableContents"/>
              <w:spacing w:before="0" w:after="0"/>
              <w:ind w:left="0" w:right="0" w:hanging="0"/>
              <w:rPr/>
            </w:pPr>
            <w:r>
              <w:rPr/>
              <w:t>​</w:t>
            </w:r>
          </w:p>
        </w:tc>
        <w:tc>
          <w:tcPr>
            <w:tcW w:w="14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12" w:type="dxa"/>
            <w:tcBorders/>
            <w:shd w:fill="auto" w:val="cle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directors and executive officers as a group</w:t>
            </w:r>
          </w:p>
        </w:tc>
        <w:tc>
          <w:tcPr>
            <w:tcW w:w="326" w:type="dxa"/>
            <w:tcBorders/>
            <w:shd w:fill="CCEEFF" w:val="clear"/>
            <w:vAlign w:val="center"/>
          </w:tcPr>
          <w:p>
            <w:pPr>
              <w:pStyle w:val="TableContents"/>
              <w:spacing w:before="0" w:after="0"/>
              <w:ind w:left="0" w:right="0" w:hanging="0"/>
              <w:rPr/>
            </w:pPr>
            <w:r>
              <w:rPr/>
              <w:t>​</w:t>
            </w:r>
          </w:p>
        </w:tc>
        <w:tc>
          <w:tcPr>
            <w:tcW w:w="144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13,595,196</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0.85-3.01</w:t>
            </w:r>
          </w:p>
        </w:tc>
        <w:tc>
          <w:tcPr>
            <w:tcW w:w="326" w:type="dxa"/>
            <w:tcBorders/>
            <w:shd w:fill="CCEEFF" w:val="clear"/>
            <w:vAlign w:val="center"/>
          </w:tcPr>
          <w:p>
            <w:pPr>
              <w:pStyle w:val="TableContents"/>
              <w:spacing w:before="0" w:after="0"/>
              <w:ind w:left="0" w:right="0" w:hanging="0"/>
              <w:rPr/>
            </w:pPr>
            <w:r>
              <w:rPr/>
              <w:t>​</w:t>
            </w:r>
          </w:p>
        </w:tc>
        <w:tc>
          <w:tcPr>
            <w:tcW w:w="19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12"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 The shares held by each of these directors and executive officers represent less than 1% of our total outstanding shares.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(1) Certain awards shown in this table were issued under the Public Company Plan to replace the awards previously granted to such individuals under the 2017 PRC Plan between July 2017 and March 2021.</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of March 30, 2023, our employees and other qualified individuals other than members of our senior management as a group held a total of 11,882,009 share options granted under the Public Company Plan.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For discussions of our accounting policies and estimates for awards granted pursuant to the Public Company Plan and the 2017 PRC Plan, see “Item 5.Operating and Financial Review and Prospects—5.E. Critical Accounting Estimates—Share-based Compensation.”</w:t>
      </w:r>
    </w:p>
    <w:tbl>
      <w:tblPr>
        <w:tblW w:w="1967" w:type="dxa"/>
        <w:jc w:val="left"/>
        <w:tblInd w:w="0" w:type="dxa"/>
        <w:tblCellMar>
          <w:top w:w="0" w:type="dxa"/>
          <w:left w:w="0" w:type="dxa"/>
          <w:bottom w:w="0" w:type="dxa"/>
          <w:right w:w="0" w:type="dxa"/>
        </w:tblCellMar>
      </w:tblPr>
      <w:tblGrid>
        <w:gridCol w:w="451"/>
        <w:gridCol w:w="1516"/>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6.C.</w:t>
            </w:r>
          </w:p>
        </w:tc>
        <w:tc>
          <w:tcPr>
            <w:tcW w:w="1516"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Board Practices</w:t>
            </w:r>
          </w:p>
        </w:tc>
      </w:tr>
    </w:tbl>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120"/>
        <w:ind w:left="0" w:right="0" w:firstLine="403"/>
        <w:jc w:val="both"/>
        <w:rPr>
          <w:rFonts w:ascii="Times New Roman;Times;serif" w:hAnsi="Times New Roman;Times;serif"/>
          <w:sz w:val="20"/>
        </w:rPr>
      </w:pPr>
      <w:r>
        <w:rPr>
          <w:rFonts w:ascii="Times New Roman;Times;serif" w:hAnsi="Times New Roman;Times;serif"/>
          <w:sz w:val="20"/>
        </w:rPr>
        <w:t>Our board of directors consists of eight directors, including three independent directors within the meaning of Section 303A of the Corporate Governance Rules of the Nasdaq, namely Can Wang, Chao Zhang and Cong Lin.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Committees of the Board of Directors</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Our audit committee consists of Can Wang, Cong Lin and Chao Zhang, and is chaired by Can Wang. We have determined that each of Can Wang, Cong Lin and Chao Zhang satisfies the requirements of Section 303A of the Corporate Governance Rules of the Nasdaq and meet the independence standards under Rule 10A-3 under the Securities Exchange Act of 1934, as amended. We have determined that Can Wang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and recommending to our board for approval, the appointment, re-appointment or removal of the independent auditor, after considering its annual performance evaluation of the independent auditor;</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approving the remuneration and terms of engagement of the independent auditor and pre-approving all auditing and non-auditing services permitted to be performed by our independent auditors;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obtaining a written report from our independent auditor describing matters relating to its independence and quality control procedures;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with the independent registered public accounting firm any audit problems or difficulties and management’s response;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discussing with our independent auditor, among other things, the audits of the financial statements, including whether any material information should be disclosed, issues regarding accounting and auditing principles and practices;</w:t>
            </w:r>
          </w:p>
        </w:tc>
      </w:tr>
    </w:tbl>
    <w:tbl>
      <w:tblPr>
        <w:tblW w:w="8466" w:type="dxa"/>
        <w:jc w:val="left"/>
        <w:tblInd w:w="0" w:type="dxa"/>
        <w:tblCellMar>
          <w:top w:w="0" w:type="dxa"/>
          <w:left w:w="0" w:type="dxa"/>
          <w:bottom w:w="0" w:type="dxa"/>
          <w:right w:w="0" w:type="dxa"/>
        </w:tblCellMar>
      </w:tblPr>
      <w:tblGrid>
        <w:gridCol w:w="124"/>
        <w:gridCol w:w="181"/>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16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and approving all proposed related party transactions, as defined in Item 7 of Form 20-F;</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and recommending the financial statements for inclusion within our quarterly earnings releases and to our board for inclusion in our annual reports;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registered public accounting firm;</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special steps taken to monitor and control major financial risk exposures;</w:t>
            </w:r>
          </w:p>
        </w:tc>
      </w:tr>
    </w:tbl>
    <w:tbl>
      <w:tblPr>
        <w:tblW w:w="6831" w:type="dxa"/>
        <w:jc w:val="left"/>
        <w:tblInd w:w="0" w:type="dxa"/>
        <w:tblCellMar>
          <w:top w:w="0" w:type="dxa"/>
          <w:left w:w="0" w:type="dxa"/>
          <w:bottom w:w="0" w:type="dxa"/>
          <w:right w:w="0" w:type="dxa"/>
        </w:tblCellMar>
      </w:tblPr>
      <w:tblGrid>
        <w:gridCol w:w="124"/>
        <w:gridCol w:w="181"/>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5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periodically, reviewing and reassessing the adequacy of the committee charter;</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at lease annually, approving annual audit plans, and undertaking an annual performance evaluation of the internal audit function;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546" w:type="dxa"/>
        <w:jc w:val="left"/>
        <w:tblInd w:w="0" w:type="dxa"/>
        <w:tblCellMar>
          <w:top w:w="0" w:type="dxa"/>
          <w:left w:w="0" w:type="dxa"/>
          <w:bottom w:w="0" w:type="dxa"/>
          <w:right w:w="0" w:type="dxa"/>
        </w:tblCellMar>
      </w:tblPr>
      <w:tblGrid>
        <w:gridCol w:w="124"/>
        <w:gridCol w:w="181"/>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24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overseeing and evaluating the handling of complaints and whistleblowing;</w:t>
            </w:r>
          </w:p>
        </w:tc>
      </w:tr>
    </w:tbl>
    <w:tbl>
      <w:tblPr>
        <w:tblW w:w="9366" w:type="dxa"/>
        <w:jc w:val="left"/>
        <w:tblInd w:w="0" w:type="dxa"/>
        <w:tblCellMar>
          <w:top w:w="0" w:type="dxa"/>
          <w:left w:w="0" w:type="dxa"/>
          <w:bottom w:w="0" w:type="dxa"/>
          <w:right w:w="0" w:type="dxa"/>
        </w:tblCellMar>
      </w:tblPr>
      <w:tblGrid>
        <w:gridCol w:w="124"/>
        <w:gridCol w:w="181"/>
        <w:gridCol w:w="90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06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registered public accounting firm;</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 and</w:t>
            </w:r>
          </w:p>
        </w:tc>
      </w:tr>
    </w:tbl>
    <w:tbl>
      <w:tblPr>
        <w:tblW w:w="3051" w:type="dxa"/>
        <w:jc w:val="left"/>
        <w:tblInd w:w="0" w:type="dxa"/>
        <w:tblCellMar>
          <w:top w:w="0" w:type="dxa"/>
          <w:left w:w="0" w:type="dxa"/>
          <w:bottom w:w="0" w:type="dxa"/>
          <w:right w:w="0" w:type="dxa"/>
        </w:tblCellMar>
      </w:tblPr>
      <w:tblGrid>
        <w:gridCol w:w="124"/>
        <w:gridCol w:w="181"/>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274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reporting regularly to the board.</w:t>
            </w:r>
          </w:p>
        </w:tc>
      </w:tr>
    </w:tbl>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Our compensation committee consists of Haijun Wang, Can Wang and Chao Zhang and is chaired by Haijun Wang. We have determined that each of Can Wang and Chao Zhang satisfies the “independence” requirements of Section 303A of the Corporate Governance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tbl>
      <w:tblPr>
        <w:tblW w:w="9756" w:type="dxa"/>
        <w:jc w:val="left"/>
        <w:tblInd w:w="0" w:type="dxa"/>
        <w:tblCellMar>
          <w:top w:w="0" w:type="dxa"/>
          <w:left w:w="0" w:type="dxa"/>
          <w:bottom w:w="0" w:type="dxa"/>
          <w:right w:w="0" w:type="dxa"/>
        </w:tblCellMar>
      </w:tblPr>
      <w:tblGrid>
        <w:gridCol w:w="124"/>
        <w:gridCol w:w="181"/>
        <w:gridCol w:w="94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45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overseeing the development and implementation of compensation programs in consultation with our management;</w:t>
            </w:r>
          </w:p>
        </w:tc>
      </w:tr>
    </w:tbl>
    <w:tbl>
      <w:tblPr>
        <w:tblW w:w="9966" w:type="dxa"/>
        <w:jc w:val="left"/>
        <w:tblInd w:w="0" w:type="dxa"/>
        <w:tblCellMar>
          <w:top w:w="0" w:type="dxa"/>
          <w:left w:w="0" w:type="dxa"/>
          <w:bottom w:w="0" w:type="dxa"/>
          <w:right w:w="0" w:type="dxa"/>
        </w:tblCellMar>
      </w:tblPr>
      <w:tblGrid>
        <w:gridCol w:w="124"/>
        <w:gridCol w:w="181"/>
        <w:gridCol w:w="96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66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the compensation for our executive officers;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periodically and submitting for board’s approval of any equity incentive plans, programs or other similar arrangements;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overseeing our regulatory compliance with respect to compensation matters, including our policies on restrictions on compensation plans and loans to directors and executive officers;</w:t>
            </w:r>
          </w:p>
        </w:tc>
      </w:tr>
    </w:tbl>
    <w:tbl>
      <w:tblPr>
        <w:tblW w:w="6831" w:type="dxa"/>
        <w:jc w:val="left"/>
        <w:tblInd w:w="0" w:type="dxa"/>
        <w:tblCellMar>
          <w:top w:w="0" w:type="dxa"/>
          <w:left w:w="0" w:type="dxa"/>
          <w:bottom w:w="0" w:type="dxa"/>
          <w:right w:w="0" w:type="dxa"/>
        </w:tblCellMar>
      </w:tblPr>
      <w:tblGrid>
        <w:gridCol w:w="124"/>
        <w:gridCol w:w="181"/>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5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periodically, reviewing and reassessing the adequacy of the committee charter;</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selecting compensation consultant, legal counsel or other adviser only after taking into consideration all factors relevant to that person’s independence from management; and</w:t>
            </w:r>
          </w:p>
        </w:tc>
      </w:tr>
    </w:tbl>
    <w:tbl>
      <w:tblPr>
        <w:tblW w:w="3051" w:type="dxa"/>
        <w:jc w:val="left"/>
        <w:tblInd w:w="0" w:type="dxa"/>
        <w:tblCellMar>
          <w:top w:w="0" w:type="dxa"/>
          <w:left w:w="0" w:type="dxa"/>
          <w:bottom w:w="0" w:type="dxa"/>
          <w:right w:w="0" w:type="dxa"/>
        </w:tblCellMar>
      </w:tblPr>
      <w:tblGrid>
        <w:gridCol w:w="124"/>
        <w:gridCol w:w="181"/>
        <w:gridCol w:w="27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274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reporting regularly to the board.</w:t>
            </w:r>
          </w:p>
        </w:tc>
      </w:tr>
    </w:tbl>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Our nominating and corporate governance committee consists of Haijun Wang, Cong Lin and Chao Zhang, and is chaired by Haijun Wang. We have determined that each of Can Wang and Chao Zhang satisfies the “independence” requirements of Section 303A of the Corporate Governance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recommending nominees to the board for election or re-election to the board, or for appointment to fill any vacancy on the board;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periodically the current composition of the board with regards to characteristics such as issues of judgment, diversity, age, skills, background and experience;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candidates’ qualifications for membership on the board or a committee of the board based on the criteria approved by the board;</w:t>
            </w:r>
          </w:p>
        </w:tc>
      </w:tr>
    </w:tbl>
    <w:tbl>
      <w:tblPr>
        <w:tblW w:w="7386" w:type="dxa"/>
        <w:jc w:val="left"/>
        <w:tblInd w:w="0" w:type="dxa"/>
        <w:tblCellMar>
          <w:top w:w="0" w:type="dxa"/>
          <w:left w:w="0" w:type="dxa"/>
          <w:bottom w:w="0" w:type="dxa"/>
          <w:right w:w="0" w:type="dxa"/>
        </w:tblCellMar>
      </w:tblPr>
      <w:tblGrid>
        <w:gridCol w:w="124"/>
        <w:gridCol w:w="181"/>
        <w:gridCol w:w="70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08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making recommendations to the board as to determinations of director independence;</w:t>
            </w:r>
          </w:p>
        </w:tc>
      </w:tr>
    </w:tbl>
    <w:tbl>
      <w:tblPr>
        <w:tblW w:w="5751" w:type="dxa"/>
        <w:jc w:val="left"/>
        <w:tblInd w:w="0" w:type="dxa"/>
        <w:tblCellMar>
          <w:top w:w="0" w:type="dxa"/>
          <w:left w:w="0" w:type="dxa"/>
          <w:bottom w:w="0" w:type="dxa"/>
          <w:right w:w="0" w:type="dxa"/>
        </w:tblCellMar>
      </w:tblPr>
      <w:tblGrid>
        <w:gridCol w:w="124"/>
        <w:gridCol w:w="181"/>
        <w:gridCol w:w="54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44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and reassessing the adequacy of the committee charter;</w:t>
            </w:r>
          </w:p>
        </w:tc>
      </w:tr>
    </w:tbl>
    <w:tbl>
      <w:tblPr>
        <w:tblW w:w="8661" w:type="dxa"/>
        <w:jc w:val="left"/>
        <w:tblInd w:w="0" w:type="dxa"/>
        <w:tblCellMar>
          <w:top w:w="0" w:type="dxa"/>
          <w:left w:w="0" w:type="dxa"/>
          <w:bottom w:w="0" w:type="dxa"/>
          <w:right w:w="0" w:type="dxa"/>
        </w:tblCellMar>
      </w:tblPr>
      <w:tblGrid>
        <w:gridCol w:w="124"/>
        <w:gridCol w:w="181"/>
        <w:gridCol w:w="83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35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reviewing and approving compensation (including equity-based compensation) for our directors; and</w:t>
            </w:r>
          </w:p>
        </w:tc>
      </w:tr>
    </w:tbl>
    <w:tbl>
      <w:tblPr>
        <w:tblW w:w="6066" w:type="dxa"/>
        <w:jc w:val="left"/>
        <w:tblInd w:w="0" w:type="dxa"/>
        <w:tblCellMar>
          <w:top w:w="0" w:type="dxa"/>
          <w:left w:w="0" w:type="dxa"/>
          <w:bottom w:w="0" w:type="dxa"/>
          <w:right w:w="0" w:type="dxa"/>
        </w:tblCellMar>
      </w:tblPr>
      <w:tblGrid>
        <w:gridCol w:w="124"/>
        <w:gridCol w:w="181"/>
        <w:gridCol w:w="57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76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evaluating the performance and effectiveness of the board as a whole.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Duties and Functions of Directors</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ninth amended and restated memorandum and articles of association,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Terms of Directors and Officers</w:t>
      </w:r>
    </w:p>
    <w:p>
      <w:pPr>
        <w:pStyle w:val="TextBody"/>
        <w:spacing w:before="0" w:after="200"/>
        <w:ind w:left="0" w:right="0" w:firstLine="400"/>
        <w:jc w:val="both"/>
        <w:rPr>
          <w:rFonts w:ascii="Times New Roman;Times;serif" w:hAnsi="Times New Roman;Times;serif"/>
          <w:sz w:val="20"/>
        </w:rPr>
      </w:pPr>
      <w:r>
        <w:rPr>
          <w:rFonts w:ascii="Times New Roman;Times;serif" w:hAnsi="Times New Roman;Times;serif"/>
          <w:sz w:val="20"/>
        </w:rPr>
        <w:t>Our officers are elected by and serve at the discretion of the board. A director shall hold office until the expiration of his or her term, if applicable,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 (v) is removed from office pursuant to any other provision of our ninth amended and restated memorandum and articles of association.</w:t>
      </w:r>
    </w:p>
    <w:tbl>
      <w:tblPr>
        <w:tblW w:w="1532" w:type="dxa"/>
        <w:jc w:val="left"/>
        <w:tblInd w:w="0" w:type="dxa"/>
        <w:tblCellMar>
          <w:top w:w="0" w:type="dxa"/>
          <w:left w:w="0" w:type="dxa"/>
          <w:bottom w:w="0" w:type="dxa"/>
          <w:right w:w="0" w:type="dxa"/>
        </w:tblCellMar>
      </w:tblPr>
      <w:tblGrid>
        <w:gridCol w:w="451"/>
        <w:gridCol w:w="1081"/>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6.D.</w:t>
            </w:r>
          </w:p>
        </w:tc>
        <w:tc>
          <w:tcPr>
            <w:tcW w:w="108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Employees</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had 2,621, 3,180 and 3,255 employees as of December 31, 2020, 2021 and 2022, respectively. All of our employees are based in China. As of December 31, 2022, all of our employees were employed directly by us without the involvement of third-party human resources companies.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numbers of our employees categorized by function as of December 31, 2022.</w:t>
      </w:r>
    </w:p>
    <w:tbl>
      <w:tblPr>
        <w:tblW w:w="3898" w:type="dxa"/>
        <w:jc w:val="left"/>
        <w:tblInd w:w="0" w:type="dxa"/>
        <w:tblCellMar>
          <w:top w:w="0" w:type="dxa"/>
          <w:left w:w="0" w:type="dxa"/>
          <w:bottom w:w="0" w:type="dxa"/>
          <w:right w:w="0" w:type="dxa"/>
        </w:tblCellMar>
      </w:tblPr>
      <w:tblGrid>
        <w:gridCol w:w="2596"/>
        <w:gridCol w:w="326"/>
        <w:gridCol w:w="97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48460" cy="175260"/>
                      <wp:effectExtent l="0" t="0" r="0" b="0"/>
                      <wp:wrapNone/>
                      <wp:docPr id="219" name="Frame211"/>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19760" cy="175260"/>
                      <wp:effectExtent l="0" t="0" r="0" b="0"/>
                      <wp:wrapNone/>
                      <wp:docPr id="221" name="Frame213"/>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25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Function</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r>
      <w:tr>
        <w:trPr/>
        <w:tc>
          <w:tcPr>
            <w:tcW w:w="259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Hotel Development</w:t>
            </w:r>
          </w:p>
        </w:tc>
        <w:tc>
          <w:tcPr>
            <w:tcW w:w="326" w:type="dxa"/>
            <w:tcBorders/>
            <w:shd w:fill="CCEEFF" w:val="clear"/>
            <w:vAlign w:val="center"/>
          </w:tcPr>
          <w:p>
            <w:pPr>
              <w:pStyle w:val="TableContents"/>
              <w:spacing w:before="0" w:after="0"/>
              <w:ind w:left="0" w:right="0" w:hanging="0"/>
              <w:rPr/>
            </w:pPr>
            <w:r>
              <w:rPr/>
              <w:t> </w:t>
            </w:r>
          </w:p>
        </w:tc>
        <w:tc>
          <w:tcPr>
            <w:tcW w:w="97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Hotel Management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 and Development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 and Supply Chain</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3,255</w:t>
            </w:r>
          </w:p>
        </w:tc>
      </w:tr>
    </w:tbl>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recruit and directly train and manage all of our employees. We believe that we maintain a good working relationship with our employees and we have not experienced any significant labor disputes. Our employees have not entered into any collective bargaining agreements.</w:t>
      </w:r>
    </w:p>
    <w:tbl>
      <w:tblPr>
        <w:tblW w:w="2057" w:type="dxa"/>
        <w:jc w:val="left"/>
        <w:tblInd w:w="0" w:type="dxa"/>
        <w:tblCellMar>
          <w:top w:w="0" w:type="dxa"/>
          <w:left w:w="0" w:type="dxa"/>
          <w:bottom w:w="0" w:type="dxa"/>
          <w:right w:w="0" w:type="dxa"/>
        </w:tblCellMar>
      </w:tblPr>
      <w:tblGrid>
        <w:gridCol w:w="451"/>
        <w:gridCol w:w="1606"/>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6.E.</w:t>
            </w:r>
          </w:p>
        </w:tc>
        <w:tc>
          <w:tcPr>
            <w:tcW w:w="1606"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Share Ownership</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concerning the beneficial ownership of our ordinary shares as of March 30, 2023, on a </w:t>
      </w:r>
      <w:r>
        <w:rPr>
          <w:rFonts w:ascii="Times New Roman;Times;serif" w:hAnsi="Times New Roman;Times;serif"/>
          <w:i/>
          <w:sz w:val="20"/>
        </w:rPr>
        <w:t>pro forma</w:t>
      </w:r>
      <w:r>
        <w:rPr>
          <w:rFonts w:ascii="Times New Roman;Times;serif" w:hAnsi="Times New Roman;Times;serif"/>
          <w:sz w:val="20"/>
        </w:rPr>
        <w:t> basis by:</w:t>
      </w:r>
    </w:p>
    <w:p>
      <w:pPr>
        <w:pStyle w:val="TextBody"/>
        <w:spacing w:before="0" w:after="20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each of our directors and executive officers; and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xml:space="preserve"> each person known to us to beneficially own more than 5% of our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calculations in the table below are based on (i) 319,677,037 Class A ordinary shares and 73,680,917 Class B ordinary shares outstanding as of March 30, 2023. Each holder of Class A ordinary shares is entitled to one vote per share and each holder of our Class B ordinary shares is entitled to ten votes per share on all matters submitted to them for a vote.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0205" w:type="dxa"/>
        <w:jc w:val="left"/>
        <w:tblInd w:w="0" w:type="dxa"/>
        <w:tblCellMar>
          <w:top w:w="0" w:type="dxa"/>
          <w:left w:w="0" w:type="dxa"/>
          <w:bottom w:w="0" w:type="dxa"/>
          <w:right w:w="0" w:type="dxa"/>
        </w:tblCellMar>
      </w:tblPr>
      <w:tblGrid>
        <w:gridCol w:w="3534"/>
        <w:gridCol w:w="326"/>
        <w:gridCol w:w="1381"/>
        <w:gridCol w:w="326"/>
        <w:gridCol w:w="1366"/>
        <w:gridCol w:w="326"/>
        <w:gridCol w:w="1216"/>
        <w:gridCol w:w="326"/>
        <w:gridCol w:w="1404"/>
      </w:tblGrid>
      <w:tr>
        <w:trPr/>
        <w:tc>
          <w:tcPr>
            <w:tcW w:w="35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44090" cy="175260"/>
                      <wp:effectExtent l="0" t="0" r="0" b="0"/>
                      <wp:wrapNone/>
                      <wp:docPr id="222" name="Frame214"/>
                      <a:graphic xmlns:a="http://schemas.openxmlformats.org/drawingml/2006/main">
                        <a:graphicData uri="http://schemas.microsoft.com/office/word/2010/wordprocessingShape">
                          <wps:wsp>
                            <wps:cNvSpPr txBox="1"/>
                            <wps:spPr>
                              <a:xfrm>
                                <a:off x="0" y="0"/>
                                <a:ext cx="2244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76935" cy="175260"/>
                      <wp:effectExtent l="0" t="0" r="0" b="0"/>
                      <wp:wrapNone/>
                      <wp:docPr id="224" name="Frame216"/>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867410" cy="175260"/>
                      <wp:effectExtent l="0" t="0" r="0" b="0"/>
                      <wp:wrapNone/>
                      <wp:docPr id="226" name="Frame218"/>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72160" cy="175260"/>
                      <wp:effectExtent l="0" t="0" r="0" b="0"/>
                      <wp:wrapNone/>
                      <wp:docPr id="228" name="Frame220"/>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91540" cy="175260"/>
                      <wp:effectExtent l="0" t="0" r="0" b="0"/>
                      <wp:wrapNone/>
                      <wp:docPr id="230" name="Frame222"/>
                      <a:graphic xmlns:a="http://schemas.openxmlformats.org/drawingml/2006/main">
                        <a:graphicData uri="http://schemas.microsoft.com/office/word/2010/wordprocessingShape">
                          <wps:wsp>
                            <wps:cNvSpPr txBox="1"/>
                            <wps:spPr>
                              <a:xfrm>
                                <a:off x="0" y="0"/>
                                <a:ext cx="891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3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45"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w:t>
            </w:r>
          </w:p>
        </w:tc>
      </w:tr>
      <w:tr>
        <w:trPr/>
        <w:tc>
          <w:tcPr>
            <w:tcW w:w="353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4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r>
      <w:tr>
        <w:trPr/>
        <w:tc>
          <w:tcPr>
            <w:tcW w:w="353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 Ordinary</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Beneficial</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Aggregate</w:t>
            </w:r>
          </w:p>
        </w:tc>
      </w:tr>
      <w:tr>
        <w:trPr/>
        <w:tc>
          <w:tcPr>
            <w:tcW w:w="353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 Power***</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Directors and Executive Officers:</w:t>
            </w: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138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6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1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04"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Haijun Wang</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48,412,523</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73,680,917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35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Rui Zhao</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Shoudong Wang</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Hong Lu</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4,300,000</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5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Gang Chen</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Xun Zhang</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Lijun Gao</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Shiwei Zhou</w:t>
            </w:r>
            <w:r>
              <w:rPr>
                <w:rFonts w:ascii="Times New Roman;Times;serif" w:hAnsi="Times New Roman;Times;serif"/>
                <w:sz w:val="15"/>
              </w:rPr>
              <w:t>(3)</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pPr>
            <w:r>
              <w:rPr/>
              <w:t>—</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Hongbin Zhou</w:t>
            </w:r>
            <w:r>
              <w:rPr>
                <w:rFonts w:ascii="Times New Roman;Times;serif" w:hAnsi="Times New Roman;Times;serif"/>
                <w:sz w:val="15"/>
              </w:rPr>
              <w:t>(4)</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pPr>
            <w:r>
              <w:rPr/>
              <w:t>—</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Chao Zhang</w:t>
            </w:r>
            <w:r>
              <w:rPr>
                <w:rFonts w:ascii="Times New Roman;Times;serif" w:hAnsi="Times New Roman;Times;serif"/>
                <w:sz w:val="15"/>
              </w:rPr>
              <w:t>(5)††</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pPr>
            <w:r>
              <w:rPr/>
              <w:t>—</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Cong Lin</w:t>
            </w:r>
            <w:r>
              <w:rPr>
                <w:rFonts w:ascii="Times New Roman;Times;serif" w:hAnsi="Times New Roman;Times;serif"/>
                <w:sz w:val="15"/>
              </w:rPr>
              <w:t>(6)††</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pPr>
            <w:r>
              <w:rPr/>
              <w:t>—</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Can Wang</w:t>
            </w:r>
            <w:r>
              <w:rPr>
                <w:rFonts w:ascii="Times New Roman;Times;serif" w:hAnsi="Times New Roman;Times;serif"/>
                <w:sz w:val="15"/>
              </w:rPr>
              <w:t>(7)††</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pPr>
            <w:r>
              <w:rPr/>
              <w:t>—</w:t>
            </w:r>
          </w:p>
        </w:tc>
      </w:tr>
      <w:tr>
        <w:trPr/>
        <w:tc>
          <w:tcPr>
            <w:tcW w:w="353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 Directors and Executive Officers as a Group</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57,020,049</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73,680,917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74.3</w:t>
            </w:r>
          </w:p>
        </w:tc>
      </w:tr>
      <w:tr>
        <w:trPr/>
        <w:tc>
          <w:tcPr>
            <w:tcW w:w="353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pPr>
            <w:r>
              <w:rPr/>
              <w:t>  </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Sea Pearl Worldwide Holding Limited</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44,412,523</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73,680,917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Legend Capital</w:t>
            </w:r>
            <w:r>
              <w:rPr>
                <w:rFonts w:ascii="Times New Roman;Times;serif" w:hAnsi="Times New Roman;Times;serif"/>
                <w:sz w:val="15"/>
              </w:rPr>
              <w:t>(8)</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114,469,418</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Diviner Limited</w:t>
            </w:r>
            <w:r>
              <w:rPr>
                <w:rFonts w:ascii="Times New Roman;Times;serif" w:hAnsi="Times New Roman;Times;serif"/>
                <w:sz w:val="15"/>
              </w:rPr>
              <w:t>(9)</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60,912,400</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Trip.com Travel Singapore Pte. Ltd.</w:t>
            </w:r>
            <w:r>
              <w:rPr>
                <w:rFonts w:ascii="Times New Roman;Times;serif" w:hAnsi="Times New Roman;Times;serif"/>
                <w:sz w:val="15"/>
              </w:rPr>
              <w:t>(10)</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55,970,815</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GLV Holding Limited</w:t>
            </w:r>
            <w:r>
              <w:rPr>
                <w:rFonts w:ascii="Times New Roman;Times;serif" w:hAnsi="Times New Roman;Times;serif"/>
                <w:sz w:val="15"/>
              </w:rPr>
              <w:t>(11)</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20,673,814</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53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Engine Holdings Limited</w:t>
            </w:r>
            <w:r>
              <w:rPr>
                <w:rFonts w:ascii="Times New Roman;Times;serif" w:hAnsi="Times New Roman;Times;serif"/>
                <w:sz w:val="15"/>
              </w:rPr>
              <w:t>(12)</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19,691,412</w:t>
            </w:r>
          </w:p>
        </w:tc>
        <w:tc>
          <w:tcPr>
            <w:tcW w:w="326" w:type="dxa"/>
            <w:tcBorders/>
            <w:shd w:fill="CCEEFF" w:val="clear"/>
            <w:vAlign w:val="center"/>
          </w:tcPr>
          <w:p>
            <w:pPr>
              <w:pStyle w:val="TableContents"/>
              <w:spacing w:before="0" w:after="0"/>
              <w:ind w:left="0" w:right="0" w:hanging="0"/>
              <w:rPr/>
            </w:pPr>
            <w:r>
              <w:rPr/>
              <w:t> </w:t>
            </w:r>
          </w:p>
        </w:tc>
        <w:tc>
          <w:tcPr>
            <w:tcW w:w="13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 </w:t>
            </w:r>
          </w:p>
        </w:tc>
        <w:tc>
          <w:tcPr>
            <w:tcW w:w="14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53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Express Ocean Universe Limited</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3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73,680,917</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auto" w:val="clear"/>
            <w:vAlign w:val="center"/>
          </w:tcPr>
          <w:p>
            <w:pPr>
              <w:pStyle w:val="TableContents"/>
              <w:spacing w:before="0" w:after="0"/>
              <w:ind w:left="0" w:right="0" w:hanging="0"/>
              <w:rPr/>
            </w:pPr>
            <w:r>
              <w:rPr/>
              <w:t> </w:t>
            </w:r>
          </w:p>
        </w:tc>
        <w:tc>
          <w:tcPr>
            <w:tcW w:w="1404"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69.7</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Notes:</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 Less than 1% of our total outstanding shares.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 For each person and group included in this table, percentage ownership is calculated by dividing the number of shares beneficially owned by such person or group by the sum of (i) 319,677,037 Class A ordinary shares and 73,680,917 Class B ordinary shares outstanding as of March 30, 2023, and (ii) the number of Class A ordinary shares underlying the share options held by such person that are exercisable within 60 days after March 30, 2023.</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 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and each holder of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pStyle w:val="TextBody"/>
        <w:spacing w:before="0" w:after="0"/>
        <w:ind w:left="0" w:right="0" w:hanging="0"/>
        <w:jc w:val="both"/>
        <w:rPr/>
      </w:pPr>
      <w:r>
        <w:rPr/>
        <w:t>​</w:t>
      </w:r>
    </w:p>
    <w:p>
      <w:pPr>
        <w:pStyle w:val="TextBody"/>
        <w:spacing w:before="0" w:after="0"/>
        <w:ind w:left="0" w:right="0" w:hanging="0"/>
        <w:jc w:val="both"/>
        <w:rPr/>
      </w:pPr>
      <w:r>
        <w:rPr/>
        <w:t xml:space="preserve">† </w:t>
      </w:r>
      <w:r>
        <w:rPr>
          <w:rFonts w:ascii="Times New Roman;Times;serif" w:hAnsi="Times New Roman;Times;serif"/>
          <w:sz w:val="16"/>
        </w:rPr>
        <w:t>Except as indicated otherwise below, the business address of our directors and executive officers is 18th floor, Wuzhong Building, 618 Wuzhong Road, Minhang District, Shanghai, People’s Republic of China.</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16"/>
        </w:rPr>
      </w:pPr>
      <w:r>
        <w:rPr>
          <w:rFonts w:ascii="Times New Roman;Times;serif" w:hAnsi="Times New Roman;Times;serif"/>
          <w:sz w:val="16"/>
        </w:rPr>
        <w:t>(1) Represents (i) 73,680,917 Class B ordinary shares held of record by Express Ocean Universe Limited, a company registered in British Virgin Islands, (ii) 19,691,412 Class A ordinary shares beneficially owned by Engine Holdings Limited, (iii) 24,721,111 Class A ordinary shares beneficially owned by certain minority shareholder, and (iv) 4,000,000 Class A ordinary shares underlying 4,000,000 share options granted to Haijun Wang on March 30, 2023 under our Public Company Plan, which became vested and exercisable on the same date. Express Ocean Universe Limited is wholly owned by Dreamline Worldwide Ventures Limited, which is in turn wholly owned by Eternal River Trust, or the Trust, for which Trident Trust Company (HK) Limited acts as the trustee. Haijun Wang is the sole director of Express Ocean Universe Limited and the settlor of the Trust, retaining the investment and dispositive powers with respect to the assets of the Trust. The beneficiaries of the Trust are Haijun Wang and Sea Pearl Worldwide Holding Limited, a company registered in the British Virgin Islands and wholly owned by Haijun Wang. Haijun Wang and Sea Pearl Worldwide Holding Limited exercise voting power over the 19,691,412 Class A ordinary shares beneficially owned by Engine Holdings Limited and the 24,721,111 Class A ordinary shares beneficially owned by the minority shareholder. As such, each of Haijun Wang and Sea Pearl Worldwide Holding Limited may be deemed to share beneficial ownership of the foregoing Class A ordinary shares. Both of Haijun Wang and Sea Pearl Worldwide Holding Limited disclaim economic interests with respect to the foregoing Class A ordinary shares. The registered address of Sea Pearl Worldwide Holding Limited is P.O. Box 4301 Road Town, Tortola, British Virgin Islands.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(2) Represents 4,300,000 Class A ordinary shares underlying 4,300,000 share options granted to Hong Lu under our Public Company Plan.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(3) The business address of Shiwei Zhou is 968 Jinzhong Road, Changning District, Shanghai, People’s Republic of China.</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(4) The business address of Hongbin Zhou is 1366 Nanjing West Road, Floor 37, Jingan District, Shanghai, People’s Republic of China.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(5) The business address of Chao Zhang is 1 Dingfuzhuang Nanli, Beijing International Studies University, College of Tourism Science, Chaoyang District, Beijing, People’s Republic of China.</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(6) The business address of Cong Lin is 2 Guanghua Road, C-2711, Chaoyang District, Beijing, People’s Republic of China.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(7) The business address of Can Wang is Floor 18, Block A, Tower 3, WangjingSOHO, 1 East Futong Avenue, Chaoyang District, Beijing, People’s Republic of China.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(8) Represents (i) 98,973,600 Class A ordinary shares held of record by Shanghai Yi Nan Enterprise Management Partnership, a limited liability partnership incorporated under the laws of PRC and (ii) 15,495,818 Class A ordinary shares held of record by Shanghai Yin Nai Enterprise Management Partnership, a limited liability partnership incorporated under the laws of PRC. Shanghai Yi Nan Enterprise Management Partnership and Shanghai Yin Nai Enterprise Management Partnership are collectively referred to as Legend Capital. Both of Shanghai Yi Nan Enterprise Management Partnership and Shanghai Yin Nai Enterprise Management Partnership are ultimately controlled by Legend Capital Management Co., Ltd., a PRC limited company. Legend Capital Management Co., Ltd. is majority-owned by Beijing Juncheng Hezhong Investment Management Partnership (Limited Partnership), which is controlled by Beijing Junqi Jiarui Business Management Limited, its general partner. The powers to vote and sell the shares beneficially owned by Beijing Junqi Jiarui Business Management Limited are exercised by its board of directors, which consists of Mr. Zhu Linan, Mr. Wang Nengguang, Mr. Chen Hao and Mr. Li Jiaqing. The registered address of Shanghai Yi Nan Enterprise Management Partnership is Room 368, No. 302 Lane 211, North Fute Road, Pilot Free Trade Zone, Shanghai, China. The registered address of Shanghai Yin Nai Enterprise Management Partnership is No. 2800, Wanyuan Road, Minhang District, Shanghai, China.</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(9) Represents 60,912,400 Class A ordinary shares held of record by Diviner Limited, a company registered in British Virgin Islands. Diviner Limited is ultimately controlled by Shanghai Divine Investment Management Co., Ltd., a PRC limited company. Shanghai Divine Investment Management Co., Ltd., is controlled by Jin Bian. The registered address of Diviner Limited is Start Chambers, Wickham’s Cay II, P.O. Box 2221, Road Town Tortola, British Virgin Islands.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6"/>
        </w:rPr>
      </w:pPr>
      <w:r>
        <w:rPr>
          <w:rFonts w:ascii="Times New Roman;Times;serif" w:hAnsi="Times New Roman;Times;serif"/>
          <w:sz w:val="16"/>
        </w:rPr>
        <w:t>(10) Represents 55,970,815 Class A ordinary shares held of record by Trip.com Travel Singapore Pte. Ltd., a company registered in Singapore. Trip.com Travel Singapore Pte. Ltd. is ultimately controlled by Trip.com Group Limited, a company registered in the Cayman Islands. The registered address of Trip.com Travel Singapore Pte. Ltd. is 72 Anson Road, #12-01, Anson House, Singapore (079911).</w:t>
        <w:br/>
        <w:t>(11) Represents 20,673,814 Class A ordinary shares held of record by GLV Holding Limited, a company registered in British Virgin Islands wholly owned by Li Jin. The registered address of GLV Holding Limited is Vistra Corporate Services Centre, Wickhams Cay II, Road Town, VG1110, British Virgin Islands.</w:t>
      </w:r>
    </w:p>
    <w:p>
      <w:pPr>
        <w:pStyle w:val="TextBody"/>
        <w:spacing w:before="0" w:after="0"/>
        <w:ind w:left="0" w:right="0" w:hanging="0"/>
        <w:jc w:val="both"/>
        <w:rPr/>
      </w:pPr>
      <w:r>
        <w:rPr/>
        <w:t>​</w:t>
      </w:r>
    </w:p>
    <w:p>
      <w:pPr>
        <w:pStyle w:val="TextBody"/>
        <w:spacing w:before="0" w:after="200"/>
        <w:ind w:left="0" w:right="0" w:hanging="0"/>
        <w:jc w:val="both"/>
        <w:rPr>
          <w:rFonts w:ascii="Times New Roman;Times;serif" w:hAnsi="Times New Roman;Times;serif"/>
          <w:sz w:val="16"/>
        </w:rPr>
      </w:pPr>
      <w:r>
        <w:rPr>
          <w:rFonts w:ascii="Times New Roman;Times;serif" w:hAnsi="Times New Roman;Times;serif"/>
          <w:sz w:val="16"/>
        </w:rPr>
        <w:t>(12) Represents 19,691,412 Class A ordinary shares held of record by Engine Holdings Limited, a company registered in British Virgin Islands wholly owned by Xining Rui. See Note (1) above for a description of the irrevocable proxy and power of attorney granted by Engine Holdings Limited with respect to such Class A ordinary shares. The registered address of Engine Holdings Limited is Vistra Corporate Services Centre, Wickhams Cay II, Road Town, VG1110, British Virgin Islands.</w:t>
      </w:r>
    </w:p>
    <w:p>
      <w:pPr>
        <w:pStyle w:val="TextBody"/>
        <w:spacing w:before="0" w:after="0"/>
        <w:ind w:left="0" w:right="0" w:firstLine="400"/>
        <w:jc w:val="both"/>
        <w:rPr>
          <w:rFonts w:ascii="Times New Roman;Times;serif" w:hAnsi="Times New Roman;Times;serif"/>
          <w:sz w:val="20"/>
        </w:rPr>
      </w:pPr>
      <w:r>
        <w:rPr>
          <w:rFonts w:ascii="Times New Roman;Times;serif" w:hAnsi="Times New Roman;Times;serif"/>
          <w:sz w:val="20"/>
        </w:rPr>
        <w:t>As of March 30, 2023, none of our outstanding ordinary shares are held by record holders in the United States. None of our shareholders has informed us that it is affiliated with a member of Financial Industry Regulatory Authority, or FINRA. We are not aware of any arrangement that may, at a subsequent date, result in a change of control of our company.</w:t>
      </w:r>
    </w:p>
    <w:p>
      <w:pPr>
        <w:pStyle w:val="TextBody"/>
        <w:pBdr/>
        <w:spacing w:before="0" w:after="0"/>
        <w:ind w:left="0" w:right="0" w:hanging="360"/>
        <w:jc w:val="both"/>
        <w:rPr/>
      </w:pPr>
      <w:r>
        <w:rPr/>
        <w:t>​</w:t>
      </w:r>
    </w:p>
    <w:p>
      <w:pPr>
        <w:pStyle w:val="TextBody"/>
        <w:spacing w:before="0" w:after="200"/>
        <w:ind w:left="0" w:right="0" w:hanging="0"/>
        <w:jc w:val="left"/>
        <w:rPr>
          <w:rFonts w:ascii="Times New Roman;Times;serif" w:hAnsi="Times New Roman;Times;serif"/>
          <w:sz w:val="20"/>
        </w:rPr>
      </w:pPr>
      <w:bookmarkStart w:id="38" w:name="ITEM7MAJORSHAREHOLDERSANDRELATEDPARTYTRA"/>
      <w:bookmarkStart w:id="39" w:name="_fba0a855_59f8_44c0_ac8e_ec32ecf12558"/>
      <w:bookmarkEnd w:id="38"/>
      <w:bookmarkEnd w:id="39"/>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7.A. Major Shareholders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Please refer to “Item 6. Directors, Senior Management and Employees—6.E. Share Ownership.”</w:t>
      </w:r>
    </w:p>
    <w:tbl>
      <w:tblPr>
        <w:tblW w:w="2927" w:type="dxa"/>
        <w:jc w:val="left"/>
        <w:tblInd w:w="0" w:type="dxa"/>
        <w:tblCellMar>
          <w:top w:w="0" w:type="dxa"/>
          <w:left w:w="0" w:type="dxa"/>
          <w:bottom w:w="0" w:type="dxa"/>
          <w:right w:w="0" w:type="dxa"/>
        </w:tblCellMar>
      </w:tblPr>
      <w:tblGrid>
        <w:gridCol w:w="451"/>
        <w:gridCol w:w="2476"/>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7.B.</w:t>
            </w:r>
          </w:p>
        </w:tc>
        <w:tc>
          <w:tcPr>
            <w:tcW w:w="2476"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Employees—6.B. Compensation—Employment Agreements and Indemnification Agreements.”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Employees—6.B. Compensation—Share Incentive Plans.”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Other Related Party Transactions</w:t>
      </w:r>
    </w:p>
    <w:p>
      <w:pPr>
        <w:pStyle w:val="TextBody"/>
        <w:spacing w:before="0" w:after="200"/>
        <w:ind w:left="0" w:right="0" w:firstLine="403"/>
        <w:jc w:val="both"/>
        <w:rPr>
          <w:rFonts w:ascii="Times New Roman;Times;serif" w:hAnsi="Times New Roman;Times;serif"/>
          <w:sz w:val="20"/>
        </w:rPr>
      </w:pPr>
      <w:r>
        <w:rPr>
          <w:rFonts w:ascii="Times New Roman;Times;serif" w:hAnsi="Times New Roman;Times;serif"/>
          <w:sz w:val="20"/>
        </w:rPr>
        <w:t>In the ordinary course of business, from time to time, we carry out other transactions and enter into other arrangements with other related parties. None of these transactions or arrangements are considered to be material except for the following.</w:t>
      </w:r>
    </w:p>
    <w:p>
      <w:pPr>
        <w:pStyle w:val="TextBody"/>
        <w:spacing w:before="0" w:after="200"/>
        <w:ind w:left="0" w:right="0" w:firstLine="403"/>
        <w:jc w:val="both"/>
        <w:rPr>
          <w:rFonts w:ascii="Times New Roman;Times;serif" w:hAnsi="Times New Roman;Times;serif"/>
          <w:sz w:val="20"/>
        </w:rPr>
      </w:pPr>
      <w:r>
        <w:rPr>
          <w:rFonts w:ascii="Times New Roman;Times;serif" w:hAnsi="Times New Roman;Times;serif"/>
          <w:sz w:val="20"/>
        </w:rPr>
        <w:t>The table below sets forth the major related parties and their relationship with us as of December 31, 2022.</w:t>
      </w:r>
    </w:p>
    <w:tbl>
      <w:tblPr>
        <w:tblW w:w="10205" w:type="dxa"/>
        <w:jc w:val="left"/>
        <w:tblInd w:w="0" w:type="dxa"/>
        <w:tblCellMar>
          <w:top w:w="0" w:type="dxa"/>
          <w:left w:w="0" w:type="dxa"/>
          <w:bottom w:w="50" w:type="dxa"/>
          <w:right w:w="0" w:type="dxa"/>
        </w:tblCellMar>
      </w:tblPr>
      <w:tblGrid>
        <w:gridCol w:w="5754"/>
        <w:gridCol w:w="326"/>
        <w:gridCol w:w="3970"/>
        <w:gridCol w:w="155"/>
      </w:tblGrid>
      <w:tr>
        <w:trPr/>
        <w:tc>
          <w:tcPr>
            <w:tcW w:w="5754"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related parties</w:t>
            </w:r>
          </w:p>
        </w:tc>
        <w:tc>
          <w:tcPr>
            <w:tcW w:w="326" w:type="dxa"/>
            <w:tcBorders>
              <w:bottom w:val="single" w:sz="2" w:space="0" w:color="FFFFFF"/>
            </w:tcBorders>
            <w:shd w:fill="auto" w:val="clear"/>
            <w:vAlign w:val="center"/>
          </w:tcPr>
          <w:p>
            <w:pPr>
              <w:pStyle w:val="TableContents"/>
              <w:spacing w:before="0" w:after="0"/>
              <w:ind w:left="0" w:right="0" w:hanging="0"/>
              <w:jc w:val="center"/>
              <w:rPr/>
            </w:pPr>
            <w:r>
              <w:rPr/>
              <w:t>    </w:t>
            </w:r>
          </w:p>
        </w:tc>
        <w:tc>
          <w:tcPr>
            <w:tcW w:w="397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Relationship with the Company</w:t>
            </w:r>
          </w:p>
        </w:tc>
        <w:tc>
          <w:tcPr>
            <w:tcW w:w="155" w:type="dxa"/>
            <w:tcBorders>
              <w:bottom w:val="single" w:sz="2" w:space="0" w:color="FFFFFF"/>
            </w:tcBorders>
            <w:shd w:fill="auto" w:val="clear"/>
            <w:vAlign w:val="center"/>
          </w:tcPr>
          <w:p>
            <w:pPr>
              <w:pStyle w:val="TableContents"/>
              <w:spacing w:before="0" w:after="283"/>
              <w:ind w:left="0" w:right="0" w:hanging="0"/>
              <w:rPr>
                <w:sz w:val="4"/>
                <w:szCs w:val="4"/>
              </w:rPr>
            </w:pPr>
            <w:r>
              <w:rPr>
                <w:sz w:val="4"/>
                <w:szCs w:val="4"/>
              </w:rPr>
            </w:r>
          </w:p>
        </w:tc>
      </w:tr>
      <w:tr>
        <w:trPr/>
        <w:tc>
          <w:tcPr>
            <w:tcW w:w="5754" w:type="dxa"/>
            <w:tcBorders>
              <w:top w:val="single" w:sz="2" w:space="0" w:color="000000"/>
            </w:tcBorders>
            <w:shd w:fill="CCEEFF" w:val="clear"/>
            <w:tcMar>
              <w:top w:w="38" w:type="dxa"/>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Trip.com Group Ltd. and its subsidiaries (collectively referred to as “Trip.com Group”)</w:t>
            </w:r>
          </w:p>
        </w:tc>
        <w:tc>
          <w:tcPr>
            <w:tcW w:w="326" w:type="dxa"/>
            <w:tcBorders>
              <w:top w:val="single" w:sz="2" w:space="0" w:color="FFFFFF"/>
            </w:tcBorders>
            <w:shd w:fill="CCEEFF" w:val="clear"/>
            <w:tcMar>
              <w:top w:w="38" w:type="dxa"/>
              <w:bottom w:w="0" w:type="dxa"/>
            </w:tcMar>
            <w:vAlign w:val="center"/>
          </w:tcPr>
          <w:p>
            <w:pPr>
              <w:pStyle w:val="TableContents"/>
              <w:spacing w:before="0" w:after="0"/>
              <w:ind w:left="0" w:right="0" w:hanging="0"/>
              <w:jc w:val="both"/>
              <w:rPr/>
            </w:pPr>
            <w:r>
              <w:rPr/>
              <w:t>​</w:t>
            </w:r>
          </w:p>
        </w:tc>
        <w:tc>
          <w:tcPr>
            <w:tcW w:w="3970" w:type="dxa"/>
            <w:tcBorders>
              <w:top w:val="single" w:sz="2" w:space="0" w:color="000000"/>
            </w:tcBorders>
            <w:shd w:fill="CCEEFF" w:val="clear"/>
            <w:tcMar>
              <w:top w:w="38" w:type="dxa"/>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Ultimate parent of a principal shareholder of the Company</w:t>
            </w:r>
          </w:p>
        </w:tc>
        <w:tc>
          <w:tcPr>
            <w:tcW w:w="155" w:type="dxa"/>
            <w:tcBorders>
              <w:top w:val="single" w:sz="2" w:space="0" w:color="FFFFFF"/>
            </w:tcBorders>
            <w:shd w:fill="CCEEFF" w:val="clear"/>
            <w:tcMar>
              <w:top w:w="38" w:type="dxa"/>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pPr>
      <w:r>
        <w:rPr/>
        <w:t>​</w:t>
      </w:r>
    </w:p>
    <w:p>
      <w:pPr>
        <w:pStyle w:val="TextBody"/>
        <w:spacing w:before="0" w:after="0"/>
        <w:ind w:left="0" w:right="0" w:firstLine="400"/>
        <w:jc w:val="both"/>
        <w:rPr>
          <w:rFonts w:ascii="Times New Roman;Times;serif" w:hAnsi="Times New Roman;Times;serif"/>
          <w:sz w:val="20"/>
        </w:rPr>
      </w:pPr>
      <w:r>
        <w:rPr>
          <w:rFonts w:ascii="Times New Roman;Times;serif" w:hAnsi="Times New Roman;Times;serif"/>
          <w:sz w:val="20"/>
        </w:rPr>
        <w:t>The table below sets forth our material related party transactions for the periods indicated:</w:t>
      </w:r>
    </w:p>
    <w:p>
      <w:pPr>
        <w:pStyle w:val="TextBody"/>
        <w:spacing w:before="0" w:after="0"/>
        <w:ind w:left="0" w:right="0" w:hanging="0"/>
        <w:jc w:val="both"/>
        <w:rPr/>
      </w:pPr>
      <w:r>
        <w:rPr/>
        <w:t>​</w:t>
      </w:r>
    </w:p>
    <w:tbl>
      <w:tblPr>
        <w:tblW w:w="8827" w:type="dxa"/>
        <w:jc w:val="left"/>
        <w:tblInd w:w="0" w:type="dxa"/>
        <w:tblCellMar>
          <w:top w:w="0" w:type="dxa"/>
          <w:left w:w="0" w:type="dxa"/>
          <w:bottom w:w="0" w:type="dxa"/>
          <w:right w:w="0" w:type="dxa"/>
        </w:tblCellMar>
      </w:tblPr>
      <w:tblGrid>
        <w:gridCol w:w="5461"/>
        <w:gridCol w:w="326"/>
        <w:gridCol w:w="781"/>
        <w:gridCol w:w="326"/>
        <w:gridCol w:w="781"/>
        <w:gridCol w:w="326"/>
        <w:gridCol w:w="826"/>
      </w:tblGrid>
      <w:tr>
        <w:trPr/>
        <w:tc>
          <w:tcPr>
            <w:tcW w:w="5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467735" cy="175260"/>
                      <wp:effectExtent l="0" t="0" r="0" b="0"/>
                      <wp:wrapNone/>
                      <wp:docPr id="231" name="Frame223"/>
                      <a:graphic xmlns:a="http://schemas.openxmlformats.org/drawingml/2006/main">
                        <a:graphicData uri="http://schemas.microsoft.com/office/word/2010/wordprocessingShape">
                          <wps:wsp>
                            <wps:cNvSpPr txBox="1"/>
                            <wps:spPr>
                              <a:xfrm>
                                <a:off x="0" y="0"/>
                                <a:ext cx="3467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5935" cy="175260"/>
                      <wp:effectExtent l="0" t="0" r="0" b="0"/>
                      <wp:wrapNone/>
                      <wp:docPr id="233" name="Frame22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5935" cy="175260"/>
                      <wp:effectExtent l="0" t="0" r="0" b="0"/>
                      <wp:wrapNone/>
                      <wp:docPr id="235" name="Frame22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24510" cy="175260"/>
                      <wp:effectExtent l="0" t="0" r="0" b="0"/>
                      <wp:wrapNone/>
                      <wp:docPr id="237" name="Frame22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882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5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4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Hotel reservation payments collected on behalf of the Company</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r>
      <w:tr>
        <w:trPr/>
        <w:tc>
          <w:tcPr>
            <w:tcW w:w="5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Trip.com Group</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257,963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588,238</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692,771</w:t>
            </w:r>
          </w:p>
        </w:tc>
      </w:tr>
      <w:tr>
        <w:trPr/>
        <w:tc>
          <w:tcPr>
            <w:tcW w:w="54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Hotel reservation service fees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r>
      <w:tr>
        <w:trPr/>
        <w:tc>
          <w:tcPr>
            <w:tcW w:w="5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Trip.com Group</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21,276</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11,334</w:t>
            </w:r>
          </w:p>
        </w:tc>
      </w:tr>
    </w:tbl>
    <w:p>
      <w:pPr>
        <w:pStyle w:val="TextBody"/>
        <w:spacing w:before="0" w:after="0"/>
        <w:ind w:left="0" w:right="0" w:hanging="0"/>
        <w:jc w:val="both"/>
        <w:rPr/>
      </w:pPr>
      <w:r>
        <w:rPr/>
        <w:t>​</w:t>
      </w:r>
    </w:p>
    <w:p>
      <w:pPr>
        <w:pStyle w:val="TextBody"/>
        <w:spacing w:before="0" w:after="200"/>
        <w:ind w:left="0" w:right="0" w:firstLine="403"/>
        <w:jc w:val="both"/>
        <w:rPr>
          <w:rFonts w:ascii="Times New Roman;Times;serif" w:hAnsi="Times New Roman;Times;serif"/>
          <w:sz w:val="20"/>
        </w:rPr>
      </w:pPr>
      <w:r>
        <w:rPr>
          <w:rFonts w:ascii="Times New Roman;Times;serif" w:hAnsi="Times New Roman;Times;serif"/>
          <w:sz w:val="20"/>
        </w:rPr>
        <w:t>We conduct transactions with Trip.com Group, the ultimate parent of one of our principal shareholder, in the ordinary course of our business. Trip.com Group has rendered online travel agency reservation services to us in exchange for certain hotel reservation service fees. Atour Shanghai entered into certain collaboration agreement (the “Collaboration Agreement”) with certain subsidiaries of Trip.com Group Ltd. (the “Trip.com Parties”) on January 1, 2018. The parties to the Collaboration Agreement have agreed to cooperate in various areas, including membership collaboration, online travel agency reservations and promotional services. Subject to certain exceptions, Atour Shanghai has agreed to pay the Trip.com Parties a commission fee for reservations made through online platforms operated by the Trip.com Parties. The terms of the Collaboration Agreement, including pricing terms, are customary compared with similar agreements entered into by hotels and major online travel agencies in China. The Collaboration Agreement shall remain effective until the execution of a new collaboration agreement among the parties.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sets forth the balances with our related parties as of the dates indicated:</w:t>
      </w:r>
    </w:p>
    <w:p>
      <w:pPr>
        <w:pStyle w:val="TextBody"/>
        <w:spacing w:before="0" w:after="0"/>
        <w:ind w:left="0" w:right="0" w:hanging="0"/>
        <w:jc w:val="both"/>
        <w:rPr/>
      </w:pPr>
      <w:r>
        <w:rPr/>
        <w:t>​</w:t>
      </w:r>
    </w:p>
    <w:tbl>
      <w:tblPr>
        <w:tblW w:w="6007" w:type="dxa"/>
        <w:jc w:val="left"/>
        <w:tblInd w:w="0" w:type="dxa"/>
        <w:tblCellMar>
          <w:top w:w="0" w:type="dxa"/>
          <w:left w:w="0" w:type="dxa"/>
          <w:bottom w:w="0" w:type="dxa"/>
          <w:right w:w="0" w:type="dxa"/>
        </w:tblCellMar>
      </w:tblPr>
      <w:tblGrid>
        <w:gridCol w:w="2956"/>
        <w:gridCol w:w="326"/>
        <w:gridCol w:w="676"/>
        <w:gridCol w:w="326"/>
        <w:gridCol w:w="676"/>
        <w:gridCol w:w="326"/>
        <w:gridCol w:w="72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77060" cy="175260"/>
                      <wp:effectExtent l="0" t="0" r="0" b="0"/>
                      <wp:wrapNone/>
                      <wp:docPr id="238" name="Frame230"/>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240" name="Frame23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2" name="Frame23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57835" cy="175260"/>
                      <wp:effectExtent l="0" t="0" r="0" b="0"/>
                      <wp:wrapNone/>
                      <wp:docPr id="244" name="Frame23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600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2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Trip.com Group</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33,592</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51,937</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53,630</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due to related parties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r>
        <w:trPr/>
        <w:tc>
          <w:tcPr>
            <w:tcW w:w="295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Wang Haijun</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6,235</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Trip.com Group</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3,004</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00"/>
        <w:ind w:left="0" w:right="0" w:hanging="0"/>
        <w:jc w:val="both"/>
        <w:rPr>
          <w:rFonts w:ascii="Times New Roman;Times;serif" w:hAnsi="Times New Roman;Times;serif"/>
          <w:sz w:val="16"/>
        </w:rPr>
      </w:pPr>
      <w:r>
        <w:rPr>
          <w:rFonts w:ascii="Times New Roman;Times;serif" w:hAnsi="Times New Roman;Times;serif"/>
          <w:sz w:val="16"/>
        </w:rPr>
        <w:t>(1) The amount due to Wang Haijun was fully repaid in connection with our restructuring in 2021 for our initial public offering.</w:t>
      </w:r>
    </w:p>
    <w:tbl>
      <w:tblPr>
        <w:tblW w:w="3317" w:type="dxa"/>
        <w:jc w:val="left"/>
        <w:tblInd w:w="0" w:type="dxa"/>
        <w:tblCellMar>
          <w:top w:w="0" w:type="dxa"/>
          <w:left w:w="0" w:type="dxa"/>
          <w:bottom w:w="0" w:type="dxa"/>
          <w:right w:w="0" w:type="dxa"/>
        </w:tblCellMar>
      </w:tblPr>
      <w:tblGrid>
        <w:gridCol w:w="451"/>
        <w:gridCol w:w="2866"/>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7.C.</w:t>
            </w:r>
          </w:p>
        </w:tc>
        <w:tc>
          <w:tcPr>
            <w:tcW w:w="2866"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Interests of Experts and Counsel</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jc w:val="left"/>
        <w:rPr>
          <w:rFonts w:ascii="Times New Roman;Times;serif" w:hAnsi="Times New Roman;Times;serif"/>
          <w:sz w:val="20"/>
        </w:rPr>
      </w:pPr>
      <w:bookmarkStart w:id="40" w:name="ITEM8FINANCIALINFORMATION_221979"/>
      <w:bookmarkStart w:id="41" w:name="_b7605b04_f960_4896_9f8a_3236d48b6aee"/>
      <w:bookmarkEnd w:id="40"/>
      <w:bookmarkEnd w:id="41"/>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tbl>
      <w:tblPr>
        <w:tblW w:w="5507" w:type="dxa"/>
        <w:jc w:val="left"/>
        <w:tblInd w:w="0" w:type="dxa"/>
        <w:tblCellMar>
          <w:top w:w="0" w:type="dxa"/>
          <w:left w:w="0" w:type="dxa"/>
          <w:bottom w:w="0" w:type="dxa"/>
          <w:right w:w="0" w:type="dxa"/>
        </w:tblCellMar>
      </w:tblPr>
      <w:tblGrid>
        <w:gridCol w:w="451"/>
        <w:gridCol w:w="5056"/>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8.A.</w:t>
            </w:r>
          </w:p>
        </w:tc>
        <w:tc>
          <w:tcPr>
            <w:tcW w:w="5056"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Consolidated Statements and Other Financial Information</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Legal Proceedings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the ordinary course of our business, we are subject to legal or administrative proceedings from time to time. We do not believe that any currently pending legal or administrative proceeding to which we are a party will have a material adverse effect on our business, financial condition or results of operations. See “Item 3. Key Information—3.D. Risk Factors—Risks Related to Our Business and Industry—We may be involved in legal and administrative proceedings in the ordinary course of our business. Any adverse outcome of these legal proceedings could have a material adverse effect on our business, results of operations and financial condition.”</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not previously declared or paid any cash dividend or dividend in kind.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4.Information on The Company—4.B. Business Overview—Regulation—Regulations on Dividend Distribution.” and “Risk Factors—Risks Related to Doing Business in China—Governmental control of currency conversion may limit our ability to utilize our revenues effectively and affect the value of your investment.”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net of the fees and expenses payable thereunder. See “Item 10.Additional Information—10.B. Memorandum and Articles of Association.”</w:t>
      </w:r>
    </w:p>
    <w:tbl>
      <w:tblPr>
        <w:tblW w:w="2282" w:type="dxa"/>
        <w:jc w:val="left"/>
        <w:tblInd w:w="0" w:type="dxa"/>
        <w:tblCellMar>
          <w:top w:w="0" w:type="dxa"/>
          <w:left w:w="0" w:type="dxa"/>
          <w:bottom w:w="0" w:type="dxa"/>
          <w:right w:w="0" w:type="dxa"/>
        </w:tblCellMar>
      </w:tblPr>
      <w:tblGrid>
        <w:gridCol w:w="451"/>
        <w:gridCol w:w="1831"/>
      </w:tblGrid>
      <w:tr>
        <w:trPr/>
        <w:tc>
          <w:tcPr>
            <w:tcW w:w="45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8.B.</w:t>
            </w:r>
          </w:p>
        </w:tc>
        <w:tc>
          <w:tcPr>
            <w:tcW w:w="1831"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Significant Changes</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not experienced any significant changes since the date of the annual financial statements included herein.</w:t>
      </w:r>
    </w:p>
    <w:p>
      <w:pPr>
        <w:pStyle w:val="TextBody"/>
        <w:spacing w:before="0" w:after="200"/>
        <w:ind w:left="0" w:right="0" w:hanging="0"/>
        <w:jc w:val="left"/>
        <w:rPr>
          <w:rFonts w:ascii="Times New Roman;Times;serif" w:hAnsi="Times New Roman;Times;serif"/>
          <w:sz w:val="20"/>
        </w:rPr>
      </w:pPr>
      <w:bookmarkStart w:id="42" w:name="ITEM9THEOFFERANDLISTING_656248"/>
      <w:bookmarkStart w:id="43" w:name="_1f67b883_61f8_4460_98be_032ba3057605"/>
      <w:bookmarkEnd w:id="42"/>
      <w:bookmarkEnd w:id="43"/>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9.A.</w:t>
      </w:r>
      <w:r>
        <w:rPr>
          <w:rFonts w:ascii="Times New Roman;Times;serif" w:hAnsi="Times New Roman;Times;serif"/>
          <w:b/>
          <w:sz w:val="20"/>
        </w:rPr>
        <w:t>Offering and Listing Details</w:t>
      </w:r>
    </w:p>
    <w:p>
      <w:pPr>
        <w:pStyle w:val="TextBody"/>
        <w:spacing w:before="0" w:after="200"/>
        <w:ind w:left="0" w:right="0" w:firstLine="360"/>
        <w:jc w:val="both"/>
        <w:rPr>
          <w:rFonts w:ascii="Times New Roman;Times;serif" w:hAnsi="Times New Roman;Times;serif"/>
          <w:sz w:val="18"/>
        </w:rPr>
      </w:pPr>
      <w:r>
        <w:rPr>
          <w:rFonts w:ascii="Times New Roman;Times;serif" w:hAnsi="Times New Roman;Times;serif"/>
          <w:sz w:val="20"/>
        </w:rPr>
        <w:t xml:space="preserve">The ADSs representing our Class A ordinary shares have been listed on the </w:t>
      </w:r>
      <w:r>
        <w:rPr>
          <w:rFonts w:ascii="Times New Roman;Times;serif" w:hAnsi="Times New Roman;Times;serif"/>
          <w:sz w:val="19"/>
        </w:rPr>
        <w:t>Nasdaq Global Select Market under the symbol “ATAT”</w:t>
      </w:r>
      <w:r>
        <w:rPr>
          <w:rFonts w:ascii="Times New Roman;Times;serif" w:hAnsi="Times New Roman;Times;serif"/>
          <w:sz w:val="18"/>
        </w:rPr>
        <w:t xml:space="preserve"> </w:t>
      </w:r>
      <w:r>
        <w:rPr>
          <w:rFonts w:ascii="Times New Roman;Times;serif" w:hAnsi="Times New Roman;Times;serif"/>
          <w:sz w:val="20"/>
        </w:rPr>
        <w:t>since November 11, 2022.</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9.B.</w:t>
      </w:r>
      <w:r>
        <w:rPr>
          <w:rFonts w:ascii="Times New Roman;Times;serif" w:hAnsi="Times New Roman;Times;serif"/>
          <w:b/>
          <w:sz w:val="20"/>
        </w:rPr>
        <w:t>Plan of Distribution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9.C.</w:t>
      </w:r>
      <w:r>
        <w:rPr>
          <w:rFonts w:ascii="Times New Roman;Times;serif" w:hAnsi="Times New Roman;Times;serif"/>
          <w:b/>
          <w:sz w:val="20"/>
        </w:rPr>
        <w:t>Markets</w:t>
      </w:r>
    </w:p>
    <w:p>
      <w:pPr>
        <w:pStyle w:val="TextBody"/>
        <w:spacing w:before="0" w:after="200"/>
        <w:ind w:left="0" w:right="0" w:firstLine="360"/>
        <w:jc w:val="both"/>
        <w:rPr>
          <w:rFonts w:ascii="Times New Roman;Times;serif" w:hAnsi="Times New Roman;Times;serif"/>
          <w:sz w:val="18"/>
        </w:rPr>
      </w:pPr>
      <w:r>
        <w:rPr>
          <w:rFonts w:ascii="Times New Roman;Times;serif" w:hAnsi="Times New Roman;Times;serif"/>
          <w:sz w:val="20"/>
        </w:rPr>
        <w:t xml:space="preserve">The ADSs representing our Class A ordinary shares have been listed on the </w:t>
      </w:r>
      <w:r>
        <w:rPr>
          <w:rFonts w:ascii="Times New Roman;Times;serif" w:hAnsi="Times New Roman;Times;serif"/>
          <w:sz w:val="19"/>
        </w:rPr>
        <w:t>Nasdaq Global Select Market under the symbol “ATAT”</w:t>
      </w:r>
      <w:r>
        <w:rPr>
          <w:rFonts w:ascii="Times New Roman;Times;serif" w:hAnsi="Times New Roman;Times;serif"/>
          <w:sz w:val="18"/>
        </w:rPr>
        <w:t xml:space="preserve"> </w:t>
      </w:r>
      <w:r>
        <w:rPr>
          <w:rFonts w:ascii="Times New Roman;Times;serif" w:hAnsi="Times New Roman;Times;serif"/>
          <w:sz w:val="20"/>
        </w:rPr>
        <w:t>since November 11, 2022.</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9.D.</w:t>
      </w:r>
      <w:r>
        <w:rPr>
          <w:rFonts w:ascii="Times New Roman;Times;serif" w:hAnsi="Times New Roman;Times;serif"/>
          <w:b/>
          <w:sz w:val="20"/>
        </w:rPr>
        <w:t>Selling Shareholders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9.E.</w:t>
      </w:r>
      <w:r>
        <w:rPr>
          <w:rFonts w:ascii="Times New Roman;Times;serif" w:hAnsi="Times New Roman;Times;serif"/>
          <w:b/>
          <w:sz w:val="20"/>
        </w:rPr>
        <w:t>Dilution</w:t>
      </w:r>
    </w:p>
    <w:p>
      <w:pPr>
        <w:pStyle w:val="TextBody"/>
        <w:spacing w:before="0" w:after="200"/>
        <w:ind w:left="0" w:right="0" w:firstLine="403"/>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9.F.</w:t>
      </w:r>
      <w:r>
        <w:rPr>
          <w:rFonts w:ascii="Times New Roman;Times;serif" w:hAnsi="Times New Roman;Times;serif"/>
          <w:b/>
          <w:sz w:val="20"/>
        </w:rPr>
        <w:t>Expenses of the Issue</w:t>
      </w:r>
    </w:p>
    <w:p>
      <w:pPr>
        <w:pStyle w:val="TextBody"/>
        <w:spacing w:before="0" w:after="0"/>
        <w:ind w:left="0" w:right="0" w:firstLine="40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firstLine="400"/>
        <w:jc w:val="both"/>
        <w:rPr/>
      </w:pPr>
      <w:r>
        <w:rPr/>
        <w:t>​</w:t>
      </w:r>
    </w:p>
    <w:p>
      <w:pPr>
        <w:pStyle w:val="TextBody"/>
        <w:spacing w:before="0" w:after="200"/>
        <w:ind w:left="0" w:right="0" w:hanging="0"/>
        <w:jc w:val="left"/>
        <w:rPr>
          <w:rFonts w:ascii="Times New Roman;Times;serif" w:hAnsi="Times New Roman;Times;serif"/>
          <w:sz w:val="20"/>
        </w:rPr>
      </w:pPr>
      <w:bookmarkStart w:id="44" w:name="ITEM10ADDITIONALINFORMATION_776703"/>
      <w:bookmarkStart w:id="45" w:name="_8700ca57_76d4_4dc8_bc99_69789a4dcfeb"/>
      <w:bookmarkEnd w:id="44"/>
      <w:bookmarkEnd w:id="45"/>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10.A.</w:t>
      </w:r>
      <w:r>
        <w:rPr>
          <w:rFonts w:ascii="Times New Roman;Times;serif" w:hAnsi="Times New Roman;Times;serif"/>
          <w:b/>
          <w:sz w:val="20"/>
        </w:rPr>
        <w:t>Share Capital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10.B.</w:t>
      </w:r>
      <w:r>
        <w:rPr>
          <w:rFonts w:ascii="Times New Roman;Times;serif" w:hAnsi="Times New Roman;Times;serif"/>
          <w:b/>
          <w:sz w:val="20"/>
        </w:rPr>
        <w:t>Memorandum and Articles of Association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We are a Cayman Islands exempted company and our affairs are governed by our memorandum and articles of association, as amended and restated from time to time, and Companies Act (As Revised) of the Cayman Islands (the </w:t>
        <w:br/>
        <w:t>“Companies Act”), and the common law of the Cayman Islands.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incorporate by reference into this annual report our ninth amended and restated memorandum and articles of association, the form of which was filed as Exhibit 3.2 to our registration statement on Form F-1 (File No. 333-256881), as amended, filed initially with the Securities and Exchange Commission on June 8, 2021. Our board of directors adopted our ninth amended and restated memorandum and articles of association by a special resolution on September 2, 2021, which became effective immediately prior to completion of our initial public offering of ADSs representing Class A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are summaries of material provisions of our ninth amended and restated memorandum and articles of association and the Companies Act insofar as they relate to the material terms of our ordinary shares.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Registered Office and Objects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registered office in the Cayman Islands is located at P.O. Box 309, Ugland House, Grand Cayman, KY1-1104, Cayman Islands.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According to Clause 3 of our ninth amended and restated memorandum and articles of association, the objects for which we are established are unrestricted and we have full power and authority to carry out any object not prohibited by the Companies Act or any other law of the Cayman Islands.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6. Directors, Senior Management and Employees.”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General.</w:t>
      </w:r>
      <w:r>
        <w:rPr>
          <w:rFonts w:ascii="Times New Roman;Times;serif" w:hAnsi="Times New Roman;Times;serif"/>
          <w:sz w:val="20"/>
        </w:rPr>
        <w:t>    Our authorized share capital is US$300,000 divided into 2,900,000,000 Class A ordinary shares and 100,000,000 Class B ordinary shares, with a par value of US$0.0001 each. Holders of ordinary shares will have the same rights except for voting and conversion rights. All of our issued and outstanding ordinary shares are non-assessable. Certificates representing the ordinary shares are issued in registered form. We may not issue share to bearer. Our shareholders who are non-resident of the Cayman Islands may freely hold and transfer their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holder of Class B ordinary shares continues to control the outcome of a shareholder vote (i) with respect to matters requiring an ordinary resolution which requires the affirmative vote of a simple majority of shareholder votes, to the extent that the Class B ordinary shares represent at least 9.1% of our total issued and outstanding share capital; and (ii) with respect to matters requiring a special resolution which requires the affirmative vote of no less than two-thirds of shareholder votes, to the extent that the Class B ordinary shares represent at least 16.7% of our total issued and outstanding share capital. The holder of Class B ordinary shares may take actions that are not in the best interest of us or our other shareholders or holders of the ADSs. It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Future issuances of our Class B or Class A ordinary shares, which can be approved by our board of directors, could result in dilution to existing holders of our Class A ordinary shares. Such issuances, or the perception that such issuances may occur, could depress the market price of the ADSs. See “Item 3. Key Information—3.D. Risk Factors—Risks Related to the ADSs—Our dual-class voting structure will limit your ability to influence corporate matters and could discourage others from pursuing any change of control transactions that holders of our Class A ordinary shares and ADSs may view as beneficial.”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Conversion.</w:t>
      </w:r>
      <w:r>
        <w:rPr>
          <w:rFonts w:ascii="Times New Roman;Times;serif" w:hAnsi="Times New Roman;Times;serif"/>
          <w:sz w:val="20"/>
        </w:rPr>
        <w:t>    Each Class B ordinary share is convertible into one Class A ordinary share at any time by the holder thereof. Class A ordinary shares are not convertible into Class B ordinary shares under any circumstances. Upon any sale, transfer, assignment, disposition, or a change of ultimate beneficial ownership of Class B ordinary shares by a holder thereof to any person who is not an Affiliate (as defined in our ninth amended and restated memorandum and articles of association) of the holders of such ordinary shares, such Class B ordinary shares shall be automatically and immediately converted into the same number of Class A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The holders of our ordinary shares are entitled to such dividends as may be declared by our board of directors subject to our ninth amended and restated memorandum and articles of association and the Companies Act. Our ninth amended and restated memorandum and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Voting Rights; Meeting of Shareholders.</w:t>
      </w:r>
      <w:r>
        <w:rPr>
          <w:rFonts w:ascii="Times New Roman;Times;serif" w:hAnsi="Times New Roman;Times;serif"/>
          <w:sz w:val="20"/>
        </w:rPr>
        <w:t>    In respect of all matters subject to a shareholders’ vote, each holder of Class A ordinary shares is entitled to one vote per share and each holder of Class B ordinary shares is entitled to ten votes per share on all matters subject to vote at our general meetings. Holders of Class A ordinary shares and Class B ordinary shares shall, at all times, vote together as one class on all matters submitted to a vote by the members at any such general meeting. Voting at any meeting of shareholders is by a poll and not a show of hands.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 quorum required for a meeting of shareholders consists of shareholders holding a majority of the votes attaching to the issued and outstanding shares entitled to vote at general meetings present in person or by proxy or, if a corporate or other non-natural person, by its duly authorized representative. As a Cayman Islands exempted company, we are not obliged by the Companies Act to call shareholders’ annual general meetings. Our ninth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ninth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ninth amended and restated memorandum and articles of association.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Transfer of Ordinary Shares.</w:t>
      </w:r>
      <w:r>
        <w:rPr>
          <w:rFonts w:ascii="Times New Roman;Times;serif" w:hAnsi="Times New Roman;Times;serif"/>
          <w:sz w:val="20"/>
        </w:rPr>
        <w:t>    Subject to the restrictions in our ninth amended and restated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5706" w:type="dxa"/>
        <w:jc w:val="left"/>
        <w:tblInd w:w="0" w:type="dxa"/>
        <w:tblCellMar>
          <w:top w:w="0" w:type="dxa"/>
          <w:left w:w="0" w:type="dxa"/>
          <w:bottom w:w="0" w:type="dxa"/>
          <w:right w:w="0" w:type="dxa"/>
        </w:tblCellMar>
      </w:tblPr>
      <w:tblGrid>
        <w:gridCol w:w="124"/>
        <w:gridCol w:w="181"/>
        <w:gridCol w:w="54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tbl>
      <w:tblPr>
        <w:tblW w:w="5106" w:type="dxa"/>
        <w:jc w:val="left"/>
        <w:tblInd w:w="0" w:type="dxa"/>
        <w:tblCellMar>
          <w:top w:w="0" w:type="dxa"/>
          <w:left w:w="0" w:type="dxa"/>
          <w:bottom w:w="0" w:type="dxa"/>
          <w:right w:w="0" w:type="dxa"/>
        </w:tblCellMar>
      </w:tblPr>
      <w:tblGrid>
        <w:gridCol w:w="124"/>
        <w:gridCol w:w="181"/>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8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tbl>
      <w:tblPr>
        <w:tblW w:w="5436" w:type="dxa"/>
        <w:jc w:val="left"/>
        <w:tblInd w:w="0" w:type="dxa"/>
        <w:tblCellMar>
          <w:top w:w="0" w:type="dxa"/>
          <w:left w:w="0" w:type="dxa"/>
          <w:bottom w:w="0" w:type="dxa"/>
          <w:right w:w="0" w:type="dxa"/>
        </w:tblCellMar>
      </w:tblPr>
      <w:tblGrid>
        <w:gridCol w:w="124"/>
        <w:gridCol w:w="181"/>
        <w:gridCol w:w="51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1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shares are free from any lien in favor of the Company;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If our directors refuse to register a transfer they shall, within five business days of such refusal, notify the transferee and provide a detailed explanation of the reason therefor.</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i/>
          <w:sz w:val="20"/>
        </w:rPr>
        <w:t>provided</w:t>
      </w:r>
      <w:r>
        <w:rPr>
          <w:rFonts w:ascii="Times New Roman;Times;serif" w:hAnsi="Times New Roman;Times;serif"/>
          <w:sz w:val="20"/>
        </w:rPr>
        <w:t>, </w:t>
      </w:r>
      <w:r>
        <w:rPr>
          <w:rFonts w:ascii="Times New Roman;Times;serif" w:hAnsi="Times New Roman;Times;serif"/>
          <w:i/>
          <w:sz w:val="20"/>
        </w:rPr>
        <w:t>however</w:t>
      </w:r>
      <w:r>
        <w:rPr>
          <w:rFonts w:ascii="Times New Roman;Times;serif" w:hAnsi="Times New Roman;Times;serif"/>
          <w:sz w:val="20"/>
        </w:rPr>
        <w:t>, that the registration of transfers shall not be suspended nor the register closed for 30 more than days in any year as our board may determine.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Liquidation.</w:t>
      </w:r>
      <w:r>
        <w:rPr>
          <w:rFonts w:ascii="Times New Roman;Times;serif" w:hAnsi="Times New Roman;Times;serif"/>
          <w:sz w:val="20"/>
        </w:rPr>
        <w:t>    On winding up,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Calls on Ordinary Shares and Forfeiture of Ordinary Shares.</w:t>
      </w:r>
      <w:r>
        <w:rPr>
          <w:rFonts w:ascii="Times New Roman;Times;serif" w:hAnsi="Times New Roman;Times;serif"/>
          <w:sz w:val="20"/>
        </w:rPr>
        <w:t>    Our board of directors may from time to time make calls upon shareholders for any amounts unpaid on their ordinary shares in a notice served to such shareholders at least 14 days prior to the specified time of payment. The ordinary shares that have been called upon and remain unpaid are subject to forfeiture.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Redemption, Repurchase and Surrender of Ordinary Shares.</w:t>
      </w:r>
      <w:r>
        <w:rPr>
          <w:rFonts w:ascii="Times New Roman;Times;serif" w:hAnsi="Times New Roman;Times;serif"/>
          <w:sz w:val="20"/>
        </w:rPr>
        <w:t>    We may issue shares on terms 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ninth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Variations of Rights of Shares.</w:t>
      </w:r>
      <w:r>
        <w:rPr>
          <w:rFonts w:ascii="Times New Roman;Times;serif" w:hAnsi="Times New Roman;Times;serif"/>
          <w:sz w:val="20"/>
        </w:rPr>
        <w:t>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i/>
          <w:sz w:val="20"/>
        </w:rPr>
        <w:t>pari passu</w:t>
      </w:r>
      <w:r>
        <w:rPr>
          <w:rFonts w:ascii="Times New Roman;Times;serif" w:hAnsi="Times New Roman;Times;serif"/>
          <w:sz w:val="20"/>
        </w:rPr>
        <w:t> with such existing class of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Inspection of Books and Records.</w:t>
      </w:r>
      <w:r>
        <w:rPr>
          <w:rFonts w:ascii="Times New Roman;Times;serif" w:hAnsi="Times New Roman;Times;serif"/>
          <w:sz w:val="20"/>
        </w:rPr>
        <w:t>    Holders of our ordinary shares have no general right under Cayman Islands law to inspect our corporate records (other than the memorandum and articles of association, special resolutions which have been passed by our shareholders, our register of mortgages and charges, and a list of our current directors) or obtain copies of our list of shareholders. However, we will provide our shareholders with annual audited financial statements.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Issuance of Additional Shares.</w:t>
      </w:r>
      <w:r>
        <w:rPr>
          <w:rFonts w:ascii="Times New Roman;Times;serif" w:hAnsi="Times New Roman;Times;serif"/>
          <w:sz w:val="20"/>
        </w:rPr>
        <w:t> Our ninth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ninth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tbl>
      <w:tblPr>
        <w:tblW w:w="2781" w:type="dxa"/>
        <w:jc w:val="left"/>
        <w:tblInd w:w="0" w:type="dxa"/>
        <w:tblCellMar>
          <w:top w:w="0" w:type="dxa"/>
          <w:left w:w="0" w:type="dxa"/>
          <w:bottom w:w="0" w:type="dxa"/>
          <w:right w:w="0" w:type="dxa"/>
        </w:tblCellMar>
      </w:tblPr>
      <w:tblGrid>
        <w:gridCol w:w="124"/>
        <w:gridCol w:w="181"/>
        <w:gridCol w:w="24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247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designation of the series;</w:t>
            </w:r>
          </w:p>
        </w:tc>
      </w:tr>
    </w:tbl>
    <w:tbl>
      <w:tblPr>
        <w:tblW w:w="3186" w:type="dxa"/>
        <w:jc w:val="left"/>
        <w:tblInd w:w="0" w:type="dxa"/>
        <w:tblCellMar>
          <w:top w:w="0" w:type="dxa"/>
          <w:left w:w="0" w:type="dxa"/>
          <w:bottom w:w="0" w:type="dxa"/>
          <w:right w:w="0" w:type="dxa"/>
        </w:tblCellMar>
      </w:tblPr>
      <w:tblGrid>
        <w:gridCol w:w="124"/>
        <w:gridCol w:w="181"/>
        <w:gridCol w:w="288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288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number of shares of the series;</w:t>
            </w:r>
          </w:p>
        </w:tc>
      </w:tr>
    </w:tbl>
    <w:tbl>
      <w:tblPr>
        <w:tblW w:w="6291" w:type="dxa"/>
        <w:jc w:val="left"/>
        <w:tblInd w:w="0" w:type="dxa"/>
        <w:tblCellMar>
          <w:top w:w="0" w:type="dxa"/>
          <w:left w:w="0" w:type="dxa"/>
          <w:bottom w:w="0" w:type="dxa"/>
          <w:right w:w="0" w:type="dxa"/>
        </w:tblCellMar>
      </w:tblPr>
      <w:tblGrid>
        <w:gridCol w:w="124"/>
        <w:gridCol w:w="181"/>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98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tbl>
      <w:tblPr>
        <w:tblW w:w="5541" w:type="dxa"/>
        <w:jc w:val="left"/>
        <w:tblInd w:w="0" w:type="dxa"/>
        <w:tblCellMar>
          <w:top w:w="0" w:type="dxa"/>
          <w:left w:w="0" w:type="dxa"/>
          <w:bottom w:w="0" w:type="dxa"/>
          <w:right w:w="0" w:type="dxa"/>
        </w:tblCellMar>
      </w:tblPr>
      <w:tblGrid>
        <w:gridCol w:w="124"/>
        <w:gridCol w:w="181"/>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23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 Issuance of these shares may dilute the voting power of holders of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Anti-Takeover Provisions.</w:t>
      </w:r>
      <w:r>
        <w:rPr>
          <w:rFonts w:ascii="Times New Roman;Times;serif" w:hAnsi="Times New Roman;Times;serif"/>
          <w:sz w:val="20"/>
        </w:rPr>
        <w:t>    Some provisions of our ninth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or limit the ability of shareholders to requisition and convene general meetings of shareholders.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Exempted Company.</w:t>
      </w:r>
      <w:r>
        <w:rPr>
          <w:rFonts w:ascii="Times New Roman;Times;serif" w:hAnsi="Times New Roman;Times;serif"/>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01" w:type="dxa"/>
        <w:jc w:val="left"/>
        <w:tblInd w:w="0" w:type="dxa"/>
        <w:tblCellMar>
          <w:top w:w="0" w:type="dxa"/>
          <w:left w:w="0" w:type="dxa"/>
          <w:bottom w:w="0" w:type="dxa"/>
          <w:right w:w="0" w:type="dxa"/>
        </w:tblCellMar>
      </w:tblPr>
      <w:tblGrid>
        <w:gridCol w:w="124"/>
        <w:gridCol w:w="181"/>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39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tbl>
      <w:tblPr>
        <w:tblW w:w="5376" w:type="dxa"/>
        <w:jc w:val="left"/>
        <w:tblInd w:w="0" w:type="dxa"/>
        <w:tblCellMar>
          <w:top w:w="0" w:type="dxa"/>
          <w:left w:w="0" w:type="dxa"/>
          <w:bottom w:w="0" w:type="dxa"/>
          <w:right w:w="0" w:type="dxa"/>
        </w:tblCellMar>
      </w:tblPr>
      <w:tblGrid>
        <w:gridCol w:w="124"/>
        <w:gridCol w:w="181"/>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07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tbl>
      <w:tblPr>
        <w:tblW w:w="4461" w:type="dxa"/>
        <w:jc w:val="left"/>
        <w:tblInd w:w="0" w:type="dxa"/>
        <w:tblCellMar>
          <w:top w:w="0" w:type="dxa"/>
          <w:left w:w="0" w:type="dxa"/>
          <w:bottom w:w="0" w:type="dxa"/>
          <w:right w:w="0" w:type="dxa"/>
        </w:tblCellMar>
      </w:tblPr>
      <w:tblGrid>
        <w:gridCol w:w="124"/>
        <w:gridCol w:w="181"/>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15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tbl>
      <w:tblPr>
        <w:tblW w:w="4056" w:type="dxa"/>
        <w:jc w:val="left"/>
        <w:tblInd w:w="0" w:type="dxa"/>
        <w:tblCellMar>
          <w:top w:w="0" w:type="dxa"/>
          <w:left w:w="0" w:type="dxa"/>
          <w:bottom w:w="0" w:type="dxa"/>
          <w:right w:w="0" w:type="dxa"/>
        </w:tblCellMar>
      </w:tblPr>
      <w:tblGrid>
        <w:gridCol w:w="124"/>
        <w:gridCol w:w="181"/>
        <w:gridCol w:w="37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375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may issue shares or shares with no par value;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766" w:type="dxa"/>
        <w:jc w:val="left"/>
        <w:tblInd w:w="0" w:type="dxa"/>
        <w:tblCellMar>
          <w:top w:w="0" w:type="dxa"/>
          <w:left w:w="0" w:type="dxa"/>
          <w:bottom w:w="0" w:type="dxa"/>
          <w:right w:w="0" w:type="dxa"/>
        </w:tblCellMar>
      </w:tblPr>
      <w:tblGrid>
        <w:gridCol w:w="124"/>
        <w:gridCol w:w="181"/>
        <w:gridCol w:w="846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46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tbl>
      <w:tblPr>
        <w:tblW w:w="4356" w:type="dxa"/>
        <w:jc w:val="left"/>
        <w:tblInd w:w="0" w:type="dxa"/>
        <w:tblCellMar>
          <w:top w:w="0" w:type="dxa"/>
          <w:left w:w="0" w:type="dxa"/>
          <w:bottom w:w="0" w:type="dxa"/>
          <w:right w:w="0" w:type="dxa"/>
        </w:tblCellMar>
      </w:tblPr>
      <w:tblGrid>
        <w:gridCol w:w="124"/>
        <w:gridCol w:w="181"/>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05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may register as a limited duration company; and</w:t>
            </w:r>
          </w:p>
        </w:tc>
      </w:tr>
    </w:tbl>
    <w:tbl>
      <w:tblPr>
        <w:tblW w:w="4311" w:type="dxa"/>
        <w:jc w:val="left"/>
        <w:tblInd w:w="0" w:type="dxa"/>
        <w:tblCellMar>
          <w:top w:w="0" w:type="dxa"/>
          <w:left w:w="0" w:type="dxa"/>
          <w:bottom w:w="0" w:type="dxa"/>
          <w:right w:w="0" w:type="dxa"/>
        </w:tblCellMar>
      </w:tblPr>
      <w:tblGrid>
        <w:gridCol w:w="124"/>
        <w:gridCol w:w="181"/>
        <w:gridCol w:w="40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00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spacing w:before="0" w:after="0"/>
        <w:ind w:left="0" w:right="0" w:hanging="0"/>
        <w:jc w:val="both"/>
        <w:rPr/>
      </w:pPr>
      <w:r>
        <w:rPr/>
        <w:t>​</w:t>
      </w:r>
    </w:p>
    <w:p>
      <w:pPr>
        <w:pStyle w:val="TextBody"/>
        <w:spacing w:before="0" w:after="200"/>
        <w:ind w:left="0" w:right="0" w:firstLine="403"/>
        <w:jc w:val="both"/>
        <w:rPr/>
      </w:pPr>
      <w:r>
        <w:rPr/>
        <w:t>“</w:t>
      </w:r>
      <w:r>
        <w:rPr>
          <w:rFonts w:ascii="Times New Roman;Times;serif" w:hAnsi="Times New Roman;Times;serif"/>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Exclusive Forum.</w:t>
      </w:r>
      <w:r>
        <w:rPr>
          <w:rFonts w:ascii="Times New Roman;Times;serif" w:hAnsi="Times New Roman;Times;serif"/>
          <w:sz w:val="20"/>
        </w:rPr>
        <w:t>    Without limiting the jurisdiction of the Cayman courts to hear, settle and/or determine disputes related to our company, the courts of the Cayman Islands shall be the sole and exclusive forum for (i) any derivative action or proceeding brought on behalf of our company, (ii) 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but not limited to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Unless we consent in writing to the selection of an alternative forum, federal courts of the United States of America shall have exclusive jurisdiction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shall be deemed to have notice of and consented to the provisions of our articles of association.</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Register of Members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Companies Act, we must keep a register of members and there should be entered therein:</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names and addresses of our members, together with a statement of the shares held by each member, and such statement shall confirm (i) the amount paid or agreed to be considered as paid, on the shares of each member, (ii) the number and category of shares held by each member, and (iii) whether each relevant category of shares held by a member carries voting rights under the articles of association of our company, and if so, whether such voting rights are conditional;</w:t>
            </w:r>
          </w:p>
        </w:tc>
      </w:tr>
    </w:tbl>
    <w:tbl>
      <w:tblPr>
        <w:tblW w:w="7446" w:type="dxa"/>
        <w:jc w:val="left"/>
        <w:tblInd w:w="0" w:type="dxa"/>
        <w:tblCellMar>
          <w:top w:w="0" w:type="dxa"/>
          <w:left w:w="0" w:type="dxa"/>
          <w:bottom w:w="0" w:type="dxa"/>
          <w:right w:w="0" w:type="dxa"/>
        </w:tblCellMar>
      </w:tblPr>
      <w:tblGrid>
        <w:gridCol w:w="124"/>
        <w:gridCol w:w="181"/>
        <w:gridCol w:w="714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14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tbl>
      <w:tblPr>
        <w:tblW w:w="4731" w:type="dxa"/>
        <w:jc w:val="left"/>
        <w:tblInd w:w="0" w:type="dxa"/>
        <w:tblCellMar>
          <w:top w:w="0" w:type="dxa"/>
          <w:left w:w="0" w:type="dxa"/>
          <w:bottom w:w="0" w:type="dxa"/>
          <w:right w:w="0" w:type="dxa"/>
        </w:tblCellMar>
      </w:tblPr>
      <w:tblGrid>
        <w:gridCol w:w="124"/>
        <w:gridCol w:w="181"/>
        <w:gridCol w:w="44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4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our offering, we have performed the procedure necessary to immediately update the register of members to record and given effect to the issuance of shares by us to the Depositary (or its nominee) as the depositary. Once our register of members has been updated, the shareholders recorded in the register of members will be deemed to have legal title to the shares set against their name.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Differences in Corporate Law</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Mergers and Similar Arrangements.</w:t>
      </w:r>
      <w:r>
        <w:rPr>
          <w:rFonts w:ascii="Times New Roman;Times;serif" w:hAnsi="Times New Roman;Times;serif"/>
          <w:sz w:val="20"/>
        </w:rPr>
        <w:t>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i/>
          <w:sz w:val="20"/>
        </w:rPr>
        <w:t>provided</w:t>
      </w:r>
      <w:r>
        <w:rPr>
          <w:rFonts w:ascii="Times New Roman;Times;serif" w:hAnsi="Times New Roman;Times;serif"/>
          <w:sz w:val="20"/>
        </w:rPr>
        <w:t>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6231" w:type="dxa"/>
        <w:jc w:val="left"/>
        <w:tblInd w:w="0" w:type="dxa"/>
        <w:tblCellMar>
          <w:top w:w="0" w:type="dxa"/>
          <w:left w:w="0" w:type="dxa"/>
          <w:bottom w:w="0" w:type="dxa"/>
          <w:right w:w="0" w:type="dxa"/>
        </w:tblCellMar>
      </w:tblPr>
      <w:tblGrid>
        <w:gridCol w:w="124"/>
        <w:gridCol w:w="181"/>
        <w:gridCol w:w="59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9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tbl>
      <w:tblPr>
        <w:tblW w:w="9981" w:type="dxa"/>
        <w:jc w:val="left"/>
        <w:tblInd w:w="0" w:type="dxa"/>
        <w:tblCellMar>
          <w:top w:w="0" w:type="dxa"/>
          <w:left w:w="0" w:type="dxa"/>
          <w:bottom w:w="0" w:type="dxa"/>
          <w:right w:w="0" w:type="dxa"/>
        </w:tblCellMar>
      </w:tblPr>
      <w:tblGrid>
        <w:gridCol w:w="124"/>
        <w:gridCol w:w="181"/>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67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Shareholders’ Suits.</w:t>
      </w:r>
      <w:r>
        <w:rPr>
          <w:rFonts w:ascii="Times New Roman;Times;serif" w:hAnsi="Times New Roman;Times;serif"/>
          <w:sz w:val="20"/>
        </w:rPr>
        <w:t>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i/>
          <w:sz w:val="20"/>
        </w:rPr>
        <w:t>Foss v. Harbottle</w:t>
      </w:r>
      <w:r>
        <w:rPr>
          <w:rFonts w:ascii="Times New Roman;Times;serif" w:hAnsi="Times New Roman;Times;serif"/>
          <w:sz w:val="20"/>
        </w:rPr>
        <w:t> and the exceptions thereto) which permit a minority shareholder to commence a class action against or derivative actions in the name of the company to challenge actions where:</w:t>
      </w:r>
    </w:p>
    <w:tbl>
      <w:tblPr>
        <w:tblW w:w="5031" w:type="dxa"/>
        <w:jc w:val="left"/>
        <w:tblInd w:w="0" w:type="dxa"/>
        <w:tblCellMar>
          <w:top w:w="0" w:type="dxa"/>
          <w:left w:w="0" w:type="dxa"/>
          <w:bottom w:w="0" w:type="dxa"/>
          <w:right w:w="0" w:type="dxa"/>
        </w:tblCellMar>
      </w:tblPr>
      <w:tblGrid>
        <w:gridCol w:w="124"/>
        <w:gridCol w:w="181"/>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7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tbl>
      <w:tblPr>
        <w:tblW w:w="6456" w:type="dxa"/>
        <w:jc w:val="left"/>
        <w:tblInd w:w="0" w:type="dxa"/>
        <w:tblCellMar>
          <w:top w:w="0" w:type="dxa"/>
          <w:left w:w="0" w:type="dxa"/>
          <w:bottom w:w="0" w:type="dxa"/>
          <w:right w:w="0" w:type="dxa"/>
        </w:tblCellMar>
      </w:tblPr>
      <w:tblGrid>
        <w:gridCol w:w="124"/>
        <w:gridCol w:w="181"/>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15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Indemnification of Directors and Executive Officers and Limitation of Liability.</w:t>
      </w:r>
      <w:r>
        <w:rPr>
          <w:rFonts w:ascii="Times New Roman;Times;serif" w:hAnsi="Times New Roman;Times;serif"/>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ninth amended and restated memorandum and articles of association, which became effective immediately prior to the completion of our 2022 offering, to the fullest extent permissible under Cayman Islands law every director and officer of our company shall be indemnified against all actions, proceedings, costs, charges, losses, damages and expenses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ninth amended and restated memorandum and articles of association.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Directors’ Fiduciary Duties.</w:t>
      </w:r>
      <w:r>
        <w:rPr>
          <w:rFonts w:ascii="Times New Roman;Times;serif" w:hAnsi="Times New Roman;Times;serif"/>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Shareholder Action by Written Consent.</w:t>
      </w:r>
      <w:r>
        <w:rPr>
          <w:rFonts w:ascii="Times New Roman;Times;serif" w:hAnsi="Times New Roman;Times;serif"/>
          <w:sz w:val="20"/>
        </w:rPr>
        <w:t>    Under the Delaware General Corporation Law, a corporation may eliminate the right of shareholders to act by written consent by amendment to its certificate of incorporation. The Companies Act and our ninth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Shareholder Proposals.</w:t>
      </w:r>
      <w:r>
        <w:rPr>
          <w:rFonts w:ascii="Times New Roman;Times;serif" w:hAnsi="Times New Roman;Times;serif"/>
          <w:sz w:val="20"/>
        </w:rPr>
        <w:t>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ninth amended and restated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ninth amended and restated memorandum and articles of association do not provide our shareholders with any other right to put proposals before annual general meetings or extraordinary general meetings not called by such shareholders. As an exempted company incorporated in the Cayman Islands, we are not obliged by law to call shareholders’ annual general meetings.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Cumulative Voting.</w:t>
      </w:r>
      <w:r>
        <w:rPr>
          <w:rFonts w:ascii="Times New Roman;Times;serif" w:hAnsi="Times New Roman;Times;serif"/>
          <w:sz w:val="20"/>
        </w:rPr>
        <w:t>    Under the Delaware General Corporation Law, cumulative voting for elections of directors is not permitted unless the corporation’s certificate of incorporation specifically provides for it.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ninth amended and restated memorandum and articles of association do not provide for cumulative voting. As a result, our shareholders are not afforded any less protections or rights on this issue than shareholders of a Delaware corporation.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Removal of Directors.</w:t>
      </w:r>
      <w:r>
        <w:rPr>
          <w:rFonts w:ascii="Times New Roman;Times;serif" w:hAnsi="Times New Roman;Times;serif"/>
          <w:sz w:val="20"/>
        </w:rPr>
        <w:t>    Under the Delaware General Corporation Law, a director of a corporation with a classified board may be removed only for cause with the approval of a majority of the outstanding shares entitled to vote, unless the certificate of incorporation provides otherwise. Under our ninth amended and restated memorandum and articles of association, directors may be removed with or without cause, by an ordinary resolution of our shareholders or the affirmative vote of a simple majority of the other directors present and voting at a board meeting. A director shall hold office until the expiration of his or her term or his or her successor shall have been elected and qualified, or until his or her office is otherwise vacated. In addition, a director’s office shall be vacated if the director (i) dies, becomes bankrupt or makes any arrangement or composition with his creditors; (ii) is found to be or becomes of unsound mind; (iii) resigns his office by notice in writing to the company; (iv) is prohibited by law or stock exchange rules from being a director; or (v) is removed from office pursuant to any other provisions of our ninth amended and restated memorandum and articles of association.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Transactions with Interested Shareholders.</w:t>
      </w:r>
      <w:r>
        <w:rPr>
          <w:rFonts w:ascii="Times New Roman;Times;serif" w:hAnsi="Times New Roman;Times;serif"/>
          <w:sz w:val="20"/>
        </w:rPr>
        <w:t>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spacing w:before="0" w:after="120"/>
        <w:ind w:left="0" w:right="0" w:firstLine="360"/>
        <w:rPr>
          <w:rFonts w:ascii="Times New Roman;Times;serif" w:hAnsi="Times New Roman;Times;serif"/>
          <w:sz w:val="20"/>
        </w:rPr>
      </w:pPr>
      <w:r>
        <w:rPr>
          <w:rFonts w:ascii="Times New Roman;Times;serif" w:hAnsi="Times New Roman;Times;serif"/>
          <w:b/>
          <w:i/>
          <w:sz w:val="20"/>
        </w:rPr>
        <w:t>Restructuring</w:t>
      </w:r>
      <w:r>
        <w:rPr>
          <w:rFonts w:ascii="Times New Roman;Times;serif" w:hAnsi="Times New Roman;Times;serif"/>
          <w:i/>
          <w:sz w:val="20"/>
        </w:rPr>
        <w:t xml:space="preserve">. </w:t>
      </w:r>
      <w:r>
        <w:rPr>
          <w:rFonts w:ascii="Times New Roman;Times;serif" w:hAnsi="Times New Roman;Times;serif"/>
          <w:sz w:val="20"/>
        </w:rPr>
        <w:t>A company may present a petition to the Grand Court of the Cayman Islands for the appointment of a restructuring officer on the grounds that the company:</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20"/>
        </w:rPr>
        <w:t>(a) is or is likely to become unable to pay its debts; and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 intends to present a compromise or arrangement to its creditors (or classes thereof) either pursuant to the Companies Act, the law of a foreign country or by way of a consensual restructuring.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Dissolution; Winding up.</w:t>
      </w:r>
      <w:r>
        <w:rPr>
          <w:rFonts w:ascii="Times New Roman;Times;serif" w:hAnsi="Times New Roman;Times;serif"/>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ninth amended and restated memorandum and articles of association, our company may be dissolved, liquidated or wound up by a special resolution of our shareholders.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Variation of Rights of Shares.</w:t>
      </w:r>
      <w:r>
        <w:rPr>
          <w:rFonts w:ascii="Times New Roman;Times;serif" w:hAnsi="Times New Roman;Times;serif"/>
          <w:sz w:val="20"/>
        </w:rPr>
        <w:t>    Under the Delaware General Corporation Law, a corporation may vary the rights of a class of shares with the approval of a majority of the outstanding shares of such class, unless the certificate of incorporation provides otherwise. Under Cayman Islands law and our ninth amended and restated memorandum and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Amendment of Governing Documents.</w:t>
      </w:r>
      <w:r>
        <w:rPr>
          <w:rFonts w:ascii="Times New Roman;Times;serif" w:hAnsi="Times New Roman;Times;serif"/>
          <w:sz w:val="20"/>
        </w:rPr>
        <w:t>    Under the Delaware General Corporation Law, a corporation’s governing documents may be amended with the approval of a majority of the outstanding shares entitled to vote, unless the certificate of incorporation provides otherwise. Under the Companies Act and our ninth amended and restated memorandum and articles of association, our memorandum and articles of association may only be amended by a special resolution of our shareholders.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b/>
          <w:i/>
          <w:sz w:val="20"/>
        </w:rPr>
        <w:t>Rights of Nonresident or Foreign Shareholders.</w:t>
      </w:r>
      <w:r>
        <w:rPr>
          <w:rFonts w:ascii="Times New Roman;Times;serif" w:hAnsi="Times New Roman;Times;serif"/>
          <w:sz w:val="20"/>
        </w:rPr>
        <w:t>    There are no limitations imposed by our ninth amended and restated memorandum and articles of association on the rights of nonresident or foreign shareholders to hold or exercise voting rights on our shares. In addition, there are no provisions in our ninth amended and restated memorandum and articles of association that require our company to disclose shareholder ownership above any particular ownership threshold.</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10.C.</w:t>
      </w:r>
      <w:r>
        <w:rPr>
          <w:rFonts w:ascii="Times New Roman;Times;serif" w:hAnsi="Times New Roman;Times;serif"/>
          <w:b/>
          <w:sz w:val="20"/>
        </w:rPr>
        <w:t>Material Contracts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this annual report.</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10.D.</w:t>
      </w:r>
      <w:r>
        <w:rPr>
          <w:rFonts w:ascii="Times New Roman;Times;serif" w:hAnsi="Times New Roman;Times;serif"/>
          <w:b/>
          <w:sz w:val="20"/>
        </w:rPr>
        <w:t>Exchange Controls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Cayman Islands currently has no exchange control regulations or currency restrictions.</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10.E.</w:t>
      </w:r>
      <w:r>
        <w:rPr>
          <w:rFonts w:ascii="Times New Roman;Times;serif" w:hAnsi="Times New Roman;Times;serif"/>
          <w:b/>
          <w:sz w:val="20"/>
        </w:rPr>
        <w:t>Taxation</w:t>
      </w:r>
    </w:p>
    <w:p>
      <w:pPr>
        <w:pStyle w:val="TextBody"/>
        <w:spacing w:before="0" w:after="200"/>
        <w:ind w:left="0" w:right="0" w:firstLine="403"/>
        <w:jc w:val="both"/>
        <w:rPr>
          <w:rFonts w:ascii="Times New Roman;Times;serif" w:hAnsi="Times New Roman;Times;serif"/>
          <w:i/>
          <w:sz w:val="20"/>
        </w:rPr>
      </w:pPr>
      <w:r>
        <w:rPr>
          <w:rFonts w:ascii="Times New Roman;Times;serif" w:hAnsi="Times New Roman;Times;serif"/>
          <w:i/>
          <w:sz w:val="20"/>
        </w:rPr>
        <w:t>The following discussion of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U.S. state, or local laws or the tax laws of any jurisdiction other than the Cayman Islands, the PRC and the United States. To the extent that the discussion relates to matters of Cayman Islands tax law, it represents the opinion of Maples and Calder (Hong Kong) LLP, our Cayman Islands legal counsel.</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Cayman Islands Taxation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corporate tax.</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People’s Republic of China Taxation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operations, personnel and human resources, finances and properties of an enterprise.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SAT Circular 82 issued by the SAT in April 2009 specifies that certain offshore incorporated enterprises controlled by PRC enterprises or PRC enterprise groups will be classified as PRC resident enterprises only if all of the following conditions are met: (a) the primary location of the day-to-day operational management is in the PRC; (b) decisions relating to the enterprise’s financial and human resource matters are made or are subject to approval by organizations or personnel in the PRC; (c) the enterprise’s primary assets, accounting books and records, company seals, and board and shareholder resolutions are located or maintained in the PRC; and (d) at least 50% of voting board members or senior executives habitually reside in the PRC.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sale or other disposition of ADSs or ordinary shares by such shareholders may be subject to PRC tax at a rate of 20% (which, in the case of dividends, may be withheld at source by us). These rates may be reduced by an applicable tax treaty, but it is unclear whether non-PRC shareholders (including the ADS holders) of our company would be able to obtain the benefits of any tax treaties between their country of tax residence and the PRC in the event that we are treated as a PRC resident enterprise.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Material U.S. Federal Income Tax Considerations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are material U.S. federal income tax consequences to the U.S. Holders described below of the ownership and disposition of the ADSs or Class A ordinary shares, but this discussion does not purport to be a comprehensive description of all of the tax considerations that may be relevant to a particular person’s decision to acquire the ADSs or Class A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the alternative minimum tax, the Medicare contribution tax on net investment income and tax consequences applicable to U.S. Holders subject to special rules, such as:</w:t>
      </w:r>
    </w:p>
    <w:tbl>
      <w:tblPr>
        <w:tblW w:w="2811" w:type="dxa"/>
        <w:jc w:val="left"/>
        <w:tblInd w:w="0" w:type="dxa"/>
        <w:tblCellMar>
          <w:top w:w="0" w:type="dxa"/>
          <w:left w:w="0" w:type="dxa"/>
          <w:bottom w:w="0" w:type="dxa"/>
          <w:right w:w="0" w:type="dxa"/>
        </w:tblCellMar>
      </w:tblPr>
      <w:tblGrid>
        <w:gridCol w:w="124"/>
        <w:gridCol w:w="181"/>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250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certain financial institutions;</w:t>
            </w:r>
          </w:p>
        </w:tc>
      </w:tr>
    </w:tbl>
    <w:tbl>
      <w:tblPr>
        <w:tblW w:w="2211" w:type="dxa"/>
        <w:jc w:val="left"/>
        <w:tblInd w:w="0" w:type="dxa"/>
        <w:tblCellMar>
          <w:top w:w="0" w:type="dxa"/>
          <w:left w:w="0" w:type="dxa"/>
          <w:bottom w:w="0" w:type="dxa"/>
          <w:right w:w="0" w:type="dxa"/>
        </w:tblCellMar>
      </w:tblPr>
      <w:tblGrid>
        <w:gridCol w:w="124"/>
        <w:gridCol w:w="181"/>
        <w:gridCol w:w="190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190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insurance companies;</w:t>
            </w:r>
          </w:p>
        </w:tc>
      </w:tr>
    </w:tbl>
    <w:tbl>
      <w:tblPr>
        <w:tblW w:w="3141" w:type="dxa"/>
        <w:jc w:val="left"/>
        <w:tblInd w:w="0" w:type="dxa"/>
        <w:tblCellMar>
          <w:top w:w="0" w:type="dxa"/>
          <w:left w:w="0" w:type="dxa"/>
          <w:bottom w:w="0" w:type="dxa"/>
          <w:right w:w="0" w:type="dxa"/>
        </w:tblCellMar>
      </w:tblPr>
      <w:tblGrid>
        <w:gridCol w:w="124"/>
        <w:gridCol w:w="181"/>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283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regulated investment companies;</w:t>
            </w:r>
          </w:p>
        </w:tc>
      </w:tr>
    </w:tbl>
    <w:tbl>
      <w:tblPr>
        <w:tblW w:w="7131" w:type="dxa"/>
        <w:jc w:val="left"/>
        <w:tblInd w:w="0" w:type="dxa"/>
        <w:tblCellMar>
          <w:top w:w="0" w:type="dxa"/>
          <w:left w:w="0" w:type="dxa"/>
          <w:bottom w:w="0" w:type="dxa"/>
          <w:right w:w="0" w:type="dxa"/>
        </w:tblCellMar>
      </w:tblPr>
      <w:tblGrid>
        <w:gridCol w:w="124"/>
        <w:gridCol w:w="181"/>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682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dealers or traders in securities that use a mark-to-market method of tax accounting;</w:t>
            </w:r>
          </w:p>
        </w:tc>
      </w:tr>
    </w:tbl>
    <w:tbl>
      <w:tblPr>
        <w:tblW w:w="8736" w:type="dxa"/>
        <w:jc w:val="left"/>
        <w:tblInd w:w="0" w:type="dxa"/>
        <w:tblCellMar>
          <w:top w:w="0" w:type="dxa"/>
          <w:left w:w="0" w:type="dxa"/>
          <w:bottom w:w="0" w:type="dxa"/>
          <w:right w:w="0" w:type="dxa"/>
        </w:tblCellMar>
      </w:tblPr>
      <w:tblGrid>
        <w:gridCol w:w="124"/>
        <w:gridCol w:w="181"/>
        <w:gridCol w:w="843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43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persons holding ADSs or Class A ordinary shares as part of a straddle, integrated or similar transaction;</w:t>
            </w:r>
          </w:p>
        </w:tc>
      </w:tr>
    </w:tbl>
    <w:tbl>
      <w:tblPr>
        <w:tblW w:w="7971" w:type="dxa"/>
        <w:jc w:val="left"/>
        <w:tblInd w:w="0" w:type="dxa"/>
        <w:tblCellMar>
          <w:top w:w="0" w:type="dxa"/>
          <w:left w:w="0" w:type="dxa"/>
          <w:bottom w:w="0" w:type="dxa"/>
          <w:right w:w="0" w:type="dxa"/>
        </w:tblCellMar>
      </w:tblPr>
      <w:tblGrid>
        <w:gridCol w:w="124"/>
        <w:gridCol w:w="181"/>
        <w:gridCol w:w="766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66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persons whose functional currency for U.S. federal income tax purposes is not the U.S. dollar;</w:t>
            </w:r>
          </w:p>
        </w:tc>
      </w:tr>
    </w:tbl>
    <w:tbl>
      <w:tblPr>
        <w:tblW w:w="7581" w:type="dxa"/>
        <w:jc w:val="left"/>
        <w:tblInd w:w="0" w:type="dxa"/>
        <w:tblCellMar>
          <w:top w:w="0" w:type="dxa"/>
          <w:left w:w="0" w:type="dxa"/>
          <w:bottom w:w="0" w:type="dxa"/>
          <w:right w:w="0" w:type="dxa"/>
        </w:tblCellMar>
      </w:tblPr>
      <w:tblGrid>
        <w:gridCol w:w="124"/>
        <w:gridCol w:w="181"/>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727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entities classified as partnerships for U.S. federal income tax purposes and their partners;</w:t>
            </w:r>
          </w:p>
        </w:tc>
      </w:tr>
    </w:tbl>
    <w:tbl>
      <w:tblPr>
        <w:tblW w:w="6126" w:type="dxa"/>
        <w:jc w:val="left"/>
        <w:tblInd w:w="0" w:type="dxa"/>
        <w:tblCellMar>
          <w:top w:w="0" w:type="dxa"/>
          <w:left w:w="0" w:type="dxa"/>
          <w:bottom w:w="0" w:type="dxa"/>
          <w:right w:w="0" w:type="dxa"/>
        </w:tblCellMar>
      </w:tblPr>
      <w:tblGrid>
        <w:gridCol w:w="124"/>
        <w:gridCol w:w="181"/>
        <w:gridCol w:w="5821"/>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5821"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tax-exempt entities, “individual retirement accounts” or “Roth IRAs”;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persons that own or are deemed to own ADSs or Class A ordinary shares representing 10% or more of our stock by vote or value;</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persons that acquired ADSs or Class A ordinary shares pursuant to the exercise of an employee stock option or otherwise as compensation; or</w:t>
            </w:r>
          </w:p>
        </w:tc>
      </w:tr>
    </w:tbl>
    <w:tbl>
      <w:tblPr>
        <w:tblW w:w="9621" w:type="dxa"/>
        <w:jc w:val="left"/>
        <w:tblInd w:w="0" w:type="dxa"/>
        <w:tblCellMar>
          <w:top w:w="0" w:type="dxa"/>
          <w:left w:w="0" w:type="dxa"/>
          <w:bottom w:w="0" w:type="dxa"/>
          <w:right w:w="0" w:type="dxa"/>
        </w:tblCellMar>
      </w:tblPr>
      <w:tblGrid>
        <w:gridCol w:w="124"/>
        <w:gridCol w:w="181"/>
        <w:gridCol w:w="931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31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persons holding ADSs or Class A ordinary shares in connection with a trade or business outside the United States.</w:t>
            </w:r>
          </w:p>
        </w:tc>
      </w:tr>
    </w:tbl>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If a partnership (or other entity that is classified as a partnership for U.S. federal income tax purposes) owns ADSs or Class A ordinary shares, the U.S. federal income tax treatment of a partner will generally depend on the status of the partner and the activities of the partnership. Partnerships owning ADSs or Class A ordinary shares and their partners should consult their tax advisers as to their particular U.S. federal income tax consequences of owning and disposing of ADSs or Class A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This discussion is based on the Internal Revenue Code of 1986, as amended, or the Code, administrative pronouncements, judicial decisions, final, temporary and proposed Treasury regulations, and the income tax treaty between the United States and the PRC, or the Treaty, all as of the date hereof, any of which is subject to change, possibly with retroactive effect. This discussion does not address any state, local or non-U.S. tax considerations, or any federal taxes (such as estate or gift taxes) other than income taxes. This discussion assumes that each obligation under the deposit agreement and any related agreement will be performed in accordance with its terms.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used herein, a “U.S. Holder” is a person that is, for U.S. federal income tax purposes, a beneficial owner of the ADSs or Class A ordinary shares and:</w:t>
      </w:r>
    </w:p>
    <w:tbl>
      <w:tblPr>
        <w:tblW w:w="4641" w:type="dxa"/>
        <w:jc w:val="left"/>
        <w:tblInd w:w="0" w:type="dxa"/>
        <w:tblCellMar>
          <w:top w:w="0" w:type="dxa"/>
          <w:left w:w="0" w:type="dxa"/>
          <w:bottom w:w="0" w:type="dxa"/>
          <w:right w:w="0" w:type="dxa"/>
        </w:tblCellMar>
      </w:tblPr>
      <w:tblGrid>
        <w:gridCol w:w="124"/>
        <w:gridCol w:w="181"/>
        <w:gridCol w:w="433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433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 citizen or individual resident of the United States;</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 corporation, or other entity taxable as a corporation, created or organized in or under the laws of the United States, any state therein or the District of Columbia; or</w:t>
            </w:r>
          </w:p>
        </w:tc>
      </w:tr>
    </w:tbl>
    <w:tbl>
      <w:tblPr>
        <w:tblW w:w="8751" w:type="dxa"/>
        <w:jc w:val="left"/>
        <w:tblInd w:w="0" w:type="dxa"/>
        <w:tblCellMar>
          <w:top w:w="0" w:type="dxa"/>
          <w:left w:w="0" w:type="dxa"/>
          <w:bottom w:w="0" w:type="dxa"/>
          <w:right w:w="0" w:type="dxa"/>
        </w:tblCellMar>
      </w:tblPr>
      <w:tblGrid>
        <w:gridCol w:w="124"/>
        <w:gridCol w:w="181"/>
        <w:gridCol w:w="844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844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 estate or trust the income of which is subject to U.S. federal income taxation regardless of its source.</w:t>
            </w:r>
          </w:p>
        </w:tc>
      </w:tr>
    </w:tbl>
    <w:p>
      <w:pPr>
        <w:pStyle w:val="TextBody"/>
        <w:spacing w:before="0" w:after="0"/>
        <w:ind w:left="0" w:right="0" w:hanging="0"/>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U.S. Holders should consult their tax advisers concerning the U.S. federal, state, local and non-U.S. tax consequences of owning and disposing of ADSs or Class A ordinary shares in their particular circumstances.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Except as described below under “—</w:t>
      </w:r>
      <w:r>
        <w:rPr>
          <w:rFonts w:ascii="Times New Roman;Times;serif" w:hAnsi="Times New Roman;Times;serif"/>
          <w:i/>
          <w:sz w:val="20"/>
        </w:rPr>
        <w:t>Passive Foreign Investment Company Rules</w:t>
      </w:r>
      <w:r>
        <w:rPr>
          <w:rFonts w:ascii="Times New Roman;Times;serif" w:hAnsi="Times New Roman;Times;serif"/>
          <w:sz w:val="20"/>
        </w:rPr>
        <w:t>,” this discussion assumes that we are not, and will not be, a passive foreign investment company, or PFIC, for any taxable year.</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Taxation of Distributions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Distributions (if any) paid on the ADSs or Class A ordinary shares (including any amounts withheld to reflect PRC withholding taxes, as discussed above under “—People’s Republic of China Taxation”), other than certain </w:t>
      </w:r>
      <w:r>
        <w:rPr>
          <w:rFonts w:ascii="Times New Roman;Times;serif" w:hAnsi="Times New Roman;Times;serif"/>
          <w:i/>
          <w:sz w:val="20"/>
        </w:rPr>
        <w:t>pro rata</w:t>
      </w:r>
      <w:r>
        <w:rPr>
          <w:rFonts w:ascii="Times New Roman;Times;serif" w:hAnsi="Times New Roman;Times;serif"/>
          <w:sz w:val="20"/>
        </w:rPr>
        <w:t>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to certain non-corporate U.S. Holders of ADSs may be taxable at a preferential rate. Non-corporate U.S. Holders should consult their tax advisers regarding the availability of this preferential tax rate on dividends in their particular circumstances.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Dividends will be included in a U.S. Holder’s income on the date of receipt by the depositary (in the case of ADSs) or the U.S. Holder (in the case of ordinary shares).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 withheld in respect of PRC taxes. Subject to applicable limitations, which vary depending upon the U.S. Holder’s circumstances, PRC taxes withheld from dividend payments generally will be creditable against a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U.S. Holders should consult their tax advisers regarding the creditability of foreign taxes in their particular circumstances. In lieu of claiming a credit, a U.S. Holder may elect to deduct such PRC taxes in computing its taxable income, subject to applicable limitations. An election to deduct foreign taxes instead of claiming foreign tax credits applies to all foreign taxes paid or accrued in the relevant taxable year.</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Sale or Other Taxable Disposition of ADSs or Class A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 U.S. Holder will generally recognize capital gain or loss on a sale or other taxable disposition of ADSs or Class A ordinary shares in an amount equal to the difference between the amount realized and the U.S. Holder’s tax basis in the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tax rates that are lower than those applicable to ordinary income. The deductibility of capital losses is subject to limitations.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described in “— People’s Republic of China Taxation,” gains on the sale of ADSs or Class A ordinary shares may be subject to PRC taxes. Under the Code, capital gains of U.S. persons are generally treated as U.S.-source income. However, a U.S. Holder that is eligible for Treaty benefits may be able to elect to treat gains on the disposition of ADSs or Class A ordinary shares as foreign-source income under the Treaty and claim a foreign tax credit in respect of any PRC taxes on such disposition gains.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However, if a U.S. Holder is precluded from claiming a foreign tax credit, it is possible that any PRC taxes on disposition gains may either be deductible or reduce the amount realized on the disposition. The rules governing foreign tax credits and deductibility of foreign taxes are complex. U.S. Holders should consult their tax advisers regarding their eligibility for benefits under the Treaty and the consequences of the imposition of any PRC tax on disposition gains, including the Treaty’s resourcing rule, any reporting requirements with respect to a Treaty-based return position and the creditability or deductibility of any PRC tax on disposition gains in their particular circumstances (including any applicable limitations).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general, a non-U.S. corporation is a PFIC for U.S. federal income tax purposes for any taxable year in which (i) 75% or more of its gross income consists of passive income or (ii) 50% or more of the average value of its assets (generally determined on an average quarterly basis) consists of assets that produce, or are held for the production of, passive income. For purposes of these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(other than certain royalties derived in an active business), and certain investment gains. Cash is generally a passive asset for these purposes. Goodwill (the value of which may be determined by reference to the excess of the sum of the corporation’s market capitalization and liabilities over the value of its assets) is generally characterized as an active asset to the extent it is associated with business activities that produce active income.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Based on the manner in which we currently conduct our business, the composition of our income and assets and the estimated value of our assets (including goodwill), we believe that we were not a PFIC for our 2022 taxable year. However, our PFIC status for any taxable year is an annual factual determination that can be made only after the end of that year and depends on the composition of our income and assets and the average value of our assets from time to time, including the value of our goodwill (which may be determined, in part, by reference to our market capitalization, which could be volatile). Therefore, we may be or become a PFIC for any taxable year if our market capitalization declines while we hold a substantial amount of cash and financial investments. In addition, if in the future we change the type of services we provide with respect to our franchised hotels, our PFIC status for any taxable year may depend on whether and to what extent our income from franchised hotels will be treated as derived in the active conduct of a trade or business within the meaning of applicable Treasury regulations. Because of these uncertainties, there can be no assurance that we will not be a PFIC for our current or any future taxable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a Lower-tier PFIC and (ii) dispositions of shares of Lower-tier PFICs, in each case as if the U.S. Holders held such shares directly, even though the U.S. Holder does not receive any proceeds of those distributions or dispositions.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general, if we are a PFIC for any taxable year during which a U.S. Holder owns the ADSs or Class A ordinary shares, gain recognized by such U.S. Holder on a sale or other disposition (including certain pledges) of the ADSs or Class A ordinary shares will be allocated ratably over the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the excess distributions will be subject to taxation in the same manner. If we are a PFIC for any taxable year during which a U.S. Holder owns ADSs or Class A ordinary shares, we will generally continue to be treated as a PFIC with respect to the U.S. Holder for all succeeding taxable years during which the U.S. Holder owns the ADSs or Class A ordinary shares, even if we cease to meet the threshold requirements for PFIC status, unless the U.S. Holder makes a timely “deemed sale” election, in which case any gain on the deemed sale will be taxed under the PFIC rules described above.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Alternatively, if we are a PFIC for any taxable year and if the ADSs are “regularly traded” on the Nasdaq, a U.S. Holder that owns ADSs could make a mark-to-market election that will result in tax treatment different from the general tax treatment for PFICs described in the preceding paragraph. The ADSs will be treated as regularly traded for any calendar year in which more than a </w:t>
      </w:r>
      <w:r>
        <w:rPr>
          <w:rFonts w:ascii="Times New Roman;Times;serif" w:hAnsi="Times New Roman;Times;serif"/>
          <w:i/>
          <w:sz w:val="20"/>
        </w:rPr>
        <w:t>de minimis</w:t>
      </w:r>
      <w:r>
        <w:rPr>
          <w:rFonts w:ascii="Times New Roman;Times;serif" w:hAnsi="Times New Roman;Times;serif"/>
          <w:sz w:val="20"/>
        </w:rPr>
        <w:t> quantity of the ADSs is traded on the Nasdaq on at least 15 days during each calendar quarter. If a U.S. Holder of ADSs makes the mark-to-market election, for each taxable year that we are a PFIC, the U.S. Holder generally will recognize as ordinary income any excess of the fair market value of the ADSs at the end of such U.S. Holder’s taxable year over their adjusted tax basis, and will recognize an ordinary loss in respect of any excess of the adjusted tax basis of the ADSs over their fair market value at the end of such U.S. Holder’s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loss treated as a capital loss). If a U.S. Holder makes the mark-to-market election, distributions paid on ADSs will be treated as discussed under “—</w:t>
      </w:r>
      <w:r>
        <w:rPr>
          <w:rFonts w:ascii="Times New Roman;Times;serif" w:hAnsi="Times New Roman;Times;serif"/>
          <w:i/>
          <w:sz w:val="20"/>
        </w:rPr>
        <w:t>Taxation of Distributions</w:t>
      </w:r>
      <w:r>
        <w:rPr>
          <w:rFonts w:ascii="Times New Roman;Times;serif" w:hAnsi="Times New Roman;Times;serif"/>
          <w:sz w:val="20"/>
        </w:rPr>
        <w:t>” above (but subject to the discussion in the immediately subsequent paragraph). Once made, the election will remain in effect for all taxable years in which we are a PFIC, unless it is revoked with the Internal Revenue Service’s consent, or the ADSs cease to be regularly traded on a qualified exchange. U.S. Holders should consult their tax advisers regarding the availability and advisability of making a mark-to-market election in their particular circumstances in the case that we are a PFIC for any taxable year. In particular, U.S. Holders should consider carefully the impact of a mark-to-market election with respect to their ADSs given that we may have Lower-tier PFICs, and there is no provision in the Code or Treasury regulations that would enable a U.S. Holder to file a mark-to-market election with respect to any Lower-tier PFICs the shares of which are not regularly traded. In addition, because our ordinary shares are not publicly traded, a U.S. Holder that holds ordinary shares that are not represented by ADSs will generally not be eligible to make a mark-to-market election with respect to such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If we are a PFIC (or are treated as a PFIC with respect to a U.S. Holder) for a taxable year in which we pay a dividend or for the prior taxable year, the preferential tax rate described above with respect to dividends paid to certain non-corporate U.S. Holders will not apply.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If we are a PFIC for any taxable year during which a U.S. Holders owns any ADSs or Class A ordinary shares, the U.S. Holder will generally be required to file annual reports with the Internal Revenue Service. U.S. Holders should consult their tax advisers regarding the determination of whether we are a PFIC for any taxable year and the potential application of the PFIC rules to their ownership of ADSs or Class A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Payments of dividends and sales proceeds that are made within the United States or through certain U.S.-related financial intermediaries may be subject to information reporting and backup withholding, unless (i) the U.S. Holder is a corporation or other “exempt recipient”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Certain U.S. Holders who are individuals (and certain specified entities) may be required to report information relating to their ownership of ADSs or Class A ordinary shares, or non-U.S. accounts through which the ADSs or ordinary shares are held. U.S. Holders should consult their tax advisers regarding their reporting obligations with respect to ADSs and Class A ordinary shares.</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10.F.</w:t>
      </w:r>
      <w:r>
        <w:rPr>
          <w:rFonts w:ascii="Times New Roman;Times;serif" w:hAnsi="Times New Roman;Times;serif"/>
          <w:b/>
          <w:sz w:val="20"/>
        </w:rPr>
        <w:t>Dividends and Paying Agents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10.G.</w:t>
      </w:r>
      <w:r>
        <w:rPr>
          <w:rFonts w:ascii="Times New Roman;Times;serif" w:hAnsi="Times New Roman;Times;serif"/>
          <w:b/>
          <w:sz w:val="20"/>
        </w:rPr>
        <w:t>Statement by Experts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10.H.</w:t>
      </w:r>
      <w:r>
        <w:rPr>
          <w:rFonts w:ascii="Times New Roman;Times;serif" w:hAnsi="Times New Roman;Times;serif"/>
          <w:b/>
          <w:sz w:val="20"/>
        </w:rPr>
        <w:t>Documents on Display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previously filed with the SEC registration statement on Form F-1 (File No. 333-256881), as amended, to register our Class A ordinary shares in relation to our initial public offering.  We also filed with the SEC a related registration statement on Form F-6 (File Number 333-257343) to register the ADSs representing our Class A ordinary shares.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 site at </w:t>
      </w:r>
      <w:r>
        <w:rPr>
          <w:rFonts w:ascii="Times New Roman;Times;serif" w:hAnsi="Times New Roman;Times;serif"/>
          <w:i/>
          <w:sz w:val="20"/>
        </w:rPr>
        <w:t xml:space="preserve">www.sec.gov </w:t>
      </w:r>
      <w:r>
        <w:rPr>
          <w:rFonts w:ascii="Times New Roman;Times;serif" w:hAnsi="Times New Roman;Times;serif"/>
          <w:sz w:val="20"/>
        </w:rPr>
        <w:t>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10.I. Subsidiary Information</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jc w:val="left"/>
        <w:rPr>
          <w:rFonts w:ascii="Times New Roman;Times;serif" w:hAnsi="Times New Roman;Times;serif"/>
          <w:sz w:val="20"/>
        </w:rPr>
      </w:pPr>
      <w:bookmarkStart w:id="46" w:name="ITEM11QUANTITATIVEANDQUALITATIVEDISCLOSU"/>
      <w:bookmarkStart w:id="47" w:name="_c28ab760_b2de_4040_8682_f017235a2fd9"/>
      <w:bookmarkEnd w:id="46"/>
      <w:bookmarkEnd w:id="47"/>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exposure to interest rate risk primarily relates to the interest income generated by excess cash invested in liquid investments with original maturities of three months or less.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Foreign Exchange Risk</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All of our revenues and most of our expenses are denominated in RMB. Our exposure to foreign exchange risk primarily relates to cash and cash equivalent denominated in U.S. dollars as a result of net proceeds from our offerings.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the ADSs will be affected by the exchange rate between U.S. dollar and RMB because the value of our business is effectively denominated in RMB, while the ADSs representing our ordinary shares will be traded in U.S. dollars.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value of the RMB against the U.S. dollar and other currencies is affected by, among other things, changes in the China’s political and economic conditions. The RMB does not fluctuate with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 In addition, the value of RMB could be affected by the proposed tariffs regarding trade with the United States.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2022, we had Renminbi-denominated cash and cash equivalents of RMB1,300.6  million (US$188.6 million) , and U.S. dollar-denominated cash, cash equivalents of US$41.8 million.</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Inflation Risk</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Since our inception, inflation in China has not materially impacted our results of operations. According to the National Bureau of Statistics of China, the year-over-year percent changes in the consumer price index for 2020, 2021 and 2022 were increases of 2.5%, 0.9% and 2.0%, respectively. Although we have not in the past been materially affected by inflation since our inception, we can provide no assurance that we will not be affected in the future by higher rates of inflation in China.</w:t>
      </w:r>
    </w:p>
    <w:p>
      <w:pPr>
        <w:pStyle w:val="TextBody"/>
        <w:spacing w:before="0" w:after="0"/>
        <w:ind w:left="0" w:right="0" w:hanging="0"/>
        <w:jc w:val="both"/>
        <w:rPr/>
      </w:pPr>
      <w:r>
        <w:rPr/>
        <w:t>​</w:t>
      </w:r>
    </w:p>
    <w:p>
      <w:pPr>
        <w:pStyle w:val="TextBody"/>
        <w:spacing w:before="0" w:after="200"/>
        <w:ind w:left="0" w:right="0" w:hanging="0"/>
        <w:jc w:val="left"/>
        <w:rPr>
          <w:rFonts w:ascii="Times New Roman;Times;serif" w:hAnsi="Times New Roman;Times;serif"/>
          <w:sz w:val="20"/>
        </w:rPr>
      </w:pPr>
      <w:bookmarkStart w:id="48" w:name="ITEM12DESCRIPTIONOFSECURITIESOTHERTHANEQ"/>
      <w:bookmarkStart w:id="49" w:name="_8b2df4db_3461_47ee_bc5b_95af142b6a5d"/>
      <w:bookmarkEnd w:id="48"/>
      <w:bookmarkEnd w:id="49"/>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12.A.</w:t>
      </w:r>
      <w:r>
        <w:rPr>
          <w:rFonts w:ascii="Times New Roman;Times;serif" w:hAnsi="Times New Roman;Times;serif"/>
          <w:b/>
          <w:sz w:val="20"/>
        </w:rPr>
        <w:t>Debt Securities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12.B.</w:t>
      </w:r>
      <w:r>
        <w:rPr>
          <w:rFonts w:ascii="Times New Roman;Times;serif" w:hAnsi="Times New Roman;Times;serif"/>
          <w:b/>
          <w:sz w:val="20"/>
        </w:rPr>
        <w:t>Warrants and Rights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12.C.</w:t>
      </w:r>
      <w:r>
        <w:rPr>
          <w:rFonts w:ascii="Times New Roman;Times;serif" w:hAnsi="Times New Roman;Times;serif"/>
          <w:b/>
          <w:sz w:val="20"/>
        </w:rPr>
        <w:t>Other Securities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12.D.</w:t>
      </w:r>
      <w:r>
        <w:rPr>
          <w:rFonts w:ascii="Times New Roman;Times;serif" w:hAnsi="Times New Roman;Times;serif"/>
          <w:b/>
          <w:sz w:val="20"/>
        </w:rPr>
        <w:t>American Depositary Shares</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Fees and Expenses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370"/>
        <w:gridCol w:w="326"/>
        <w:gridCol w:w="4317"/>
        <w:gridCol w:w="192"/>
      </w:tblGrid>
      <w:tr>
        <w:trPr/>
        <w:tc>
          <w:tcPr>
            <w:tcW w:w="53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409950" cy="29210"/>
                      <wp:effectExtent l="0" t="0" r="0" b="0"/>
                      <wp:wrapNone/>
                      <wp:docPr id="245" name="Frame237"/>
                      <a:graphic xmlns:a="http://schemas.openxmlformats.org/drawingml/2006/main">
                        <a:graphicData uri="http://schemas.microsoft.com/office/word/2010/wordprocessingShape">
                          <wps:wsp>
                            <wps:cNvSpPr txBox="1"/>
                            <wps:spPr>
                              <a:xfrm>
                                <a:off x="0" y="0"/>
                                <a:ext cx="340995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29210"/>
                      <wp:effectExtent l="0" t="0" r="0" b="0"/>
                      <wp:wrapNone/>
                      <wp:docPr id="246" name="Frame23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741295" cy="29210"/>
                      <wp:effectExtent l="0" t="0" r="0" b="0"/>
                      <wp:wrapNone/>
                      <wp:docPr id="247" name="Frame239"/>
                      <a:graphic xmlns:a="http://schemas.openxmlformats.org/drawingml/2006/main">
                        <a:graphicData uri="http://schemas.microsoft.com/office/word/2010/wordprocessingShape">
                          <wps:wsp>
                            <wps:cNvSpPr txBox="1"/>
                            <wps:spPr>
                              <a:xfrm>
                                <a:off x="0" y="0"/>
                                <a:ext cx="274129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1920" cy="29210"/>
                      <wp:effectExtent l="0" t="0" r="0" b="0"/>
                      <wp:wrapNone/>
                      <wp:docPr id="248" name="Frame240"/>
                      <a:graphic xmlns:a="http://schemas.openxmlformats.org/drawingml/2006/main">
                        <a:graphicData uri="http://schemas.microsoft.com/office/word/2010/wordprocessingShape">
                          <wps:wsp>
                            <wps:cNvSpPr txBox="1"/>
                            <wps:spPr>
                              <a:xfrm>
                                <a:off x="0" y="0"/>
                                <a:ext cx="1219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370"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b/>
                <w:sz w:val="16"/>
              </w:rPr>
              <w:t>Persons depositing or withdrawing shares or</w:t>
            </w:r>
            <w:r>
              <w:rPr>
                <w:rFonts w:ascii="Times New Roman;Times;serif" w:hAnsi="Times New Roman;Times;serif"/>
                <w:sz w:val="16"/>
              </w:rPr>
              <w:t xml:space="preserve"> </w:t>
            </w:r>
            <w:r>
              <w:rPr>
                <w:rFonts w:ascii="Times New Roman;Times;serif" w:hAnsi="Times New Roman;Times;serif"/>
                <w:b/>
                <w:sz w:val="16"/>
              </w:rPr>
              <w:t>ADS holders must pay:</w:t>
            </w:r>
          </w:p>
        </w:tc>
        <w:tc>
          <w:tcPr>
            <w:tcW w:w="326"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pPr>
            <w:r>
              <w:rPr/>
              <w:t>    </w:t>
            </w:r>
          </w:p>
        </w:tc>
        <w:tc>
          <w:tcPr>
            <w:tcW w:w="4317"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92"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r>
      <w:tr>
        <w:trPr/>
        <w:tc>
          <w:tcPr>
            <w:tcW w:w="5370" w:type="dxa"/>
            <w:tcBorders>
              <w:top w:val="single" w:sz="2" w:space="0" w:color="000000"/>
            </w:tcBorders>
            <w:shd w:fill="auto" w:val="clear"/>
            <w:tcMar>
              <w:top w:w="28" w:type="dxa"/>
            </w:tcM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$5.00 (or less) per 100 ADSs (or portion of 100 ADSs)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Issuance of ADSs, including issuances resulting from a distribution of shares or rights or other property</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Cancellation of ADSs for the purpose of withdrawal, including if the deposit agreement terminates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jc w:val="right"/>
              <w:rPr/>
            </w:pPr>
            <w:r>
              <w:rPr/>
              <w:t>  </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$.05 (or less) per ADS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Any cash distribution to ADS holders</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Distribution of securities distributed to holders of deposited securities (including rights) that are distributed by the depositary to ADS holders</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$.05 (or less) per ADS per calendar year</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Depositary services</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Registration or transfer fees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Transfer and registration of shares on our share register to or from the name of the depositary or its agent when you deposit or withdraw shares</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Expenses of the depositary</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Cable (including SWIFT) and facsimile transmissions (when expressly provided in the deposit agreement)</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Converting foreign currency to U.S. dollars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jc w:val="right"/>
              <w:rPr/>
            </w:pPr>
            <w:r>
              <w:rPr/>
              <w:t>  </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As necessary</w:t>
            </w:r>
          </w:p>
        </w:tc>
        <w:tc>
          <w:tcPr>
            <w:tcW w:w="192" w:type="dxa"/>
            <w:tcBorders/>
            <w:shd w:fill="auto" w:val="clear"/>
            <w:vAlign w:val="center"/>
          </w:tcPr>
          <w:p>
            <w:pPr>
              <w:pStyle w:val="TableContents"/>
              <w:spacing w:lineRule="auto" w:line="304" w:before="0" w:after="0"/>
              <w:ind w:left="0" w:right="0" w:hanging="0"/>
              <w:rPr/>
            </w:pPr>
            <w:r>
              <w:rPr/>
              <w:t>​</w:t>
            </w:r>
          </w:p>
        </w:tc>
      </w:tr>
      <w:tr>
        <w:trPr/>
        <w:tc>
          <w:tcPr>
            <w:tcW w:w="5370"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326" w:type="dxa"/>
            <w:tcBorders/>
            <w:shd w:fill="auto" w:val="clear"/>
            <w:vAlign w:val="center"/>
          </w:tcPr>
          <w:p>
            <w:pPr>
              <w:pStyle w:val="TableContents"/>
              <w:spacing w:lineRule="auto" w:line="304" w:before="0" w:after="0"/>
              <w:ind w:left="0" w:right="0" w:hanging="0"/>
              <w:rPr/>
            </w:pPr>
            <w:r>
              <w:rPr/>
              <w:t>​</w:t>
            </w:r>
          </w:p>
        </w:tc>
        <w:tc>
          <w:tcPr>
            <w:tcW w:w="4317"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As necessary</w:t>
            </w:r>
          </w:p>
        </w:tc>
        <w:tc>
          <w:tcPr>
            <w:tcW w:w="192" w:type="dxa"/>
            <w:tcBorders/>
            <w:shd w:fill="auto" w:val="clear"/>
            <w:vAlign w:val="center"/>
          </w:tcPr>
          <w:p>
            <w:pPr>
              <w:pStyle w:val="TableContents"/>
              <w:spacing w:lineRule="auto" w:line="304"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50" w:name="PARTII_917992"/>
      <w:bookmarkStart w:id="51" w:name="_b97a4e37_50a3_45d9_ace2_21409b93f226"/>
      <w:bookmarkEnd w:id="50"/>
      <w:bookmarkEnd w:id="51"/>
      <w:r>
        <w:rPr>
          <w:rFonts w:ascii="Times New Roman;Times;serif" w:hAnsi="Times New Roman;Times;serif"/>
          <w:b/>
          <w:sz w:val="20"/>
        </w:rPr>
        <w:t>PART II</w:t>
      </w:r>
    </w:p>
    <w:p>
      <w:pPr>
        <w:pStyle w:val="TextBody"/>
        <w:spacing w:before="0" w:after="200"/>
        <w:ind w:left="0" w:right="0" w:hanging="0"/>
        <w:jc w:val="left"/>
        <w:rPr>
          <w:rFonts w:ascii="Times New Roman;Times;serif" w:hAnsi="Times New Roman;Times;serif"/>
          <w:sz w:val="20"/>
        </w:rPr>
      </w:pPr>
      <w:bookmarkStart w:id="52" w:name="ITEM13ITEMDEFAULTSDIVIDENDARREARAGESANDD"/>
      <w:bookmarkEnd w:id="52"/>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00"/>
        <w:ind w:left="0" w:right="0" w:hanging="0"/>
        <w:jc w:val="left"/>
        <w:rPr>
          <w:rFonts w:ascii="Times New Roman;Times;serif" w:hAnsi="Times New Roman;Times;serif"/>
          <w:sz w:val="20"/>
        </w:rPr>
      </w:pPr>
      <w:bookmarkStart w:id="53" w:name="ITEM14MATERIALMODIFICATIONSTOTHERIGHTSOF"/>
      <w:bookmarkStart w:id="54" w:name="_eb070f43_6e8b_4be9_8500_6b5bcf4a3468"/>
      <w:bookmarkEnd w:id="53"/>
      <w:bookmarkEnd w:id="54"/>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See “Item 10. Additional Information” for a description of the rights of shareholders, which remain unchanged.</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(File No. 333-256881) as amended (the “IPO Registration Statement”), which registered 14,250,000 Class A ordinary shares represented by 4,750,000 ADSs issued and sold by us, and the underwriters’ exercise of their option to purchase from us 712,500 additional ADSs representing 2,137,500 Class A ordinary shares, at a public offering price of US$11.0 per ADS. The registration statement was declared effective by the SEC on November 10, 2022, for our initial public offering, which closed in November 2021. BofA Securities, Inc. and Citigroup Global Markets Inc. were the representatives of the underwriters.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received net proceeds of US$55.9 million from our initial public offering in November 2022 and the underwriters’ exercise of over-allotment option. Our expenses incurred and paid to others in connection with the issuance and distribution of the ADSs in our offering totaled US$9.2 million, which included US$4.2 million for underwriting discounts and commissions and US$5.0 million for other expenses. None of the transaction expenses included payments to directors or officers of our company or their associates, persons owning more than 10% or more of our equity securities or our affiliates.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For the period from the date that the registration statement on Form F-1 was declared effective by the SEC to December 31, 2022, we had not yet used the net proceeds received from the initial public offering.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None of the net proceeds we received from the initial public offering were paid, directly or indirectly, to any of our directors or officers or their associates, persons owning 10% or more of our equity securities or our affiliates. We intend to use the remainder of the net proceeds from our initial public offering for the purposes as disclosed in our registration statements on Form F-1.</w:t>
      </w:r>
    </w:p>
    <w:p>
      <w:pPr>
        <w:pStyle w:val="TextBody"/>
        <w:spacing w:before="0" w:after="200"/>
        <w:ind w:left="0" w:right="0" w:hanging="0"/>
        <w:jc w:val="left"/>
        <w:rPr>
          <w:rFonts w:ascii="Times New Roman;Times;serif" w:hAnsi="Times New Roman;Times;serif"/>
          <w:sz w:val="20"/>
        </w:rPr>
      </w:pPr>
      <w:bookmarkStart w:id="55" w:name="ITEM15CONTROLSANDPROCEDURES_663982"/>
      <w:bookmarkStart w:id="56" w:name="_802633fe_10bd_49d4_8e26_c7d7da8ec59c"/>
      <w:bookmarkEnd w:id="55"/>
      <w:bookmarkEnd w:id="56"/>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Based upon that evaluation, our management has concluded that, as of December 31, 2022,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In the course of auditing our consolidated financial statements for the year ended December 31, 2022, we and our independent registered public accounting firm identified material weaknesses in our internal control over financial reporting as of December 31, 2022, in accordance with the standards established by the Public Company Accounting Oversight Board of the United States, or the PCAOB.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material weaknesses identified include:</w:t>
      </w:r>
    </w:p>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lack of sufficient financial reporting and accounting personnel with appropriate knowledge of U.S. GAAP and SEC reporting requirements to properly address complex U.S. GAAP accounting issues and related disclosures in accordance with U.S. GAAP and financial reporting requirements set forth by the SEC; and</w:t>
            </w:r>
          </w:p>
        </w:tc>
      </w:tr>
    </w:tbl>
    <w:tbl>
      <w:tblPr>
        <w:tblW w:w="10205" w:type="dxa"/>
        <w:jc w:val="left"/>
        <w:tblInd w:w="0" w:type="dxa"/>
        <w:tblCellMar>
          <w:top w:w="0" w:type="dxa"/>
          <w:left w:w="0" w:type="dxa"/>
          <w:bottom w:w="0" w:type="dxa"/>
          <w:right w:w="0" w:type="dxa"/>
        </w:tblCellMar>
      </w:tblPr>
      <w:tblGrid>
        <w:gridCol w:w="124"/>
        <w:gridCol w:w="181"/>
        <w:gridCol w:w="9900"/>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00"/>
              <w:jc w:val="both"/>
              <w:rPr>
                <w:rFonts w:ascii="Symbol" w:hAnsi="Symbol"/>
                <w:sz w:val="20"/>
              </w:rPr>
            </w:pPr>
            <w:r>
              <w:rPr>
                <w:rFonts w:ascii="Symbol" w:hAnsi="Symbol"/>
                <w:sz w:val="20"/>
              </w:rPr>
              <w:t>·</w:t>
            </w:r>
          </w:p>
        </w:tc>
        <w:tc>
          <w:tcPr>
            <w:tcW w:w="9900"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lack of sufficient trained and knowledgeable resources to execute its responsibilities with respect to internal control over financial reporting. As a consequence, we did not design and implement effective process-level controls activities for certain financial statement accounts and disclosures, including impairment of leased hotels long-lived assets, share-based compensation and income tax.</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taken measures and plan to continue to take measures to remediate these deficiencies, including: (i) hiring more qualified resources, equipped with relevant U.S. GAAP and SEC reporting experiences and qualifications to strengthen the financial reporting function, (ii) establishing an ongoing program to provide sufficient and additional appropriate training to our accounting staff, especially trainings related to U.S. GAAP and SEC financial reporting requirements, (iii) developing a set of accounting policies and procedures, which document the current U.S. GAAP accounting policies and technical accounting guidance and are tailored to our business, and (iv) implementing internal controls over financial reporting to ensure accounting policies and procedures are operating effectively.</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“Item 3. Key Information—3.D. Risk Factors—Risks Relating to Our Business and Industry—If we fail to maintain an effective system of internal control over financial reporting, we may not be able to accurately report our financial results or prevent fraud.”</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This annual report on Form 20-F does not include a report of management’s assessment regarding internal control over financial reporting due to a transition period established by rules of the SEC for newly public companies.</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that have materially affected, or are reasonably likely to materially affect, our internal control over financial reporting.</w:t>
      </w:r>
    </w:p>
    <w:p>
      <w:pPr>
        <w:pStyle w:val="TextBody"/>
        <w:spacing w:before="0" w:after="200"/>
        <w:ind w:left="0" w:right="0" w:hanging="0"/>
        <w:jc w:val="left"/>
        <w:rPr>
          <w:rFonts w:ascii="Times New Roman;Times;serif" w:hAnsi="Times New Roman;Times;serif"/>
          <w:sz w:val="20"/>
        </w:rPr>
      </w:pPr>
      <w:bookmarkStart w:id="57" w:name="ITEM16AAUDITCOMMITTEEFINANCIALEXPERT_521"/>
      <w:bookmarkStart w:id="58" w:name="_150dc9c5_f053_4a40_b412_d09a49414004"/>
      <w:bookmarkEnd w:id="57"/>
      <w:bookmarkEnd w:id="58"/>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Our board of directors has determined that Can Wang, an independent director and a member of our audit committee, qualifies as an “audit committee financial expert” within the meaning of the SEC rules and possesses financial sophistication within the meaning of Listing Rules of the Nasdaq Stock Market. Can Wang satisfies the “independence” requirements of Section 5605(a)(2) of the Listing Rules of the Nasdaq Stock Market and Rule 10A-3 under the Securities Exchange Act of 1934, as amended.</w:t>
      </w:r>
    </w:p>
    <w:p>
      <w:pPr>
        <w:pStyle w:val="TextBody"/>
        <w:spacing w:before="0" w:after="200"/>
        <w:ind w:left="0" w:right="0" w:hanging="0"/>
        <w:jc w:val="left"/>
        <w:rPr>
          <w:rFonts w:ascii="Times New Roman;Times;serif" w:hAnsi="Times New Roman;Times;serif"/>
          <w:sz w:val="20"/>
        </w:rPr>
      </w:pPr>
      <w:bookmarkStart w:id="59" w:name="ITEM16BCODEOFETHICS_871848"/>
      <w:bookmarkStart w:id="60" w:name="_c12aed72_9d89_47ef_98dc_03fb902dc842"/>
      <w:bookmarkEnd w:id="59"/>
      <w:bookmarkEnd w:id="60"/>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to the registration statement on Form F-1 (File No. 333-256881), as amended, initially filed with the SEC on June 08, 2021, and posted a copy of our code of business conduct and ethics on our website at </w:t>
      </w:r>
      <w:r>
        <w:rPr>
          <w:rFonts w:ascii="Times New Roman;Times;serif" w:hAnsi="Times New Roman;Times;serif"/>
          <w:i/>
          <w:sz w:val="20"/>
        </w:rPr>
        <w:t>https://ir.yaduo.com</w:t>
      </w:r>
      <w:r>
        <w:rPr>
          <w:rFonts w:ascii="Times New Roman;Times;serif" w:hAnsi="Times New Roman;Times;serif"/>
          <w:sz w:val="20"/>
        </w:rPr>
        <w:t>. We hereby undertake to provide to any person without charge, a copy of our code of business conduct and ethics within ten working days after we receive such person’s written request.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left"/>
        <w:rPr>
          <w:rFonts w:ascii="Times New Roman;Times;serif" w:hAnsi="Times New Roman;Times;serif"/>
          <w:sz w:val="20"/>
        </w:rPr>
      </w:pPr>
      <w:bookmarkStart w:id="61" w:name="ITEM16CPRINCIPALACCOUNTANTFEESANDSERVICE"/>
      <w:bookmarkStart w:id="62" w:name="_7cccbb08_f910_4187_b320_4c66bb9cfed8"/>
      <w:bookmarkEnd w:id="61"/>
      <w:bookmarkEnd w:id="62"/>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pBdr/>
        <w:spacing w:before="0" w:after="200"/>
        <w:ind w:left="0" w:right="0" w:hanging="360"/>
        <w:jc w:val="both"/>
        <w:rPr>
          <w:rFonts w:ascii="Times New Roman;Times;serif" w:hAnsi="Times New Roman;Times;serif"/>
          <w:b/>
          <w:sz w:val="20"/>
        </w:rPr>
      </w:pPr>
      <w:r>
        <w:rPr>
          <w:rFonts w:ascii="Times New Roman;Times;serif" w:hAnsi="Times New Roman;Times;serif"/>
          <w:b/>
          <w:sz w:val="20"/>
        </w:rPr>
        <w:t>Auditor Fees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KPMG Huazhen LLP, our independent registered public accounting firm, for the years indicated.</w:t>
      </w:r>
    </w:p>
    <w:p>
      <w:pPr>
        <w:pStyle w:val="TextBody"/>
        <w:spacing w:before="0" w:after="0"/>
        <w:ind w:left="0" w:right="0" w:hanging="0"/>
        <w:rPr/>
      </w:pPr>
      <w:r>
        <w:rPr/>
        <w:t>​</w:t>
      </w:r>
    </w:p>
    <w:tbl>
      <w:tblPr>
        <w:tblW w:w="4747" w:type="dxa"/>
        <w:jc w:val="left"/>
        <w:tblInd w:w="0" w:type="dxa"/>
        <w:tblCellMar>
          <w:top w:w="0" w:type="dxa"/>
          <w:left w:w="0" w:type="dxa"/>
          <w:bottom w:w="0" w:type="dxa"/>
          <w:right w:w="0" w:type="dxa"/>
        </w:tblCellMar>
      </w:tblPr>
      <w:tblGrid>
        <w:gridCol w:w="1846"/>
        <w:gridCol w:w="326"/>
        <w:gridCol w:w="571"/>
        <w:gridCol w:w="326"/>
        <w:gridCol w:w="571"/>
        <w:gridCol w:w="326"/>
        <w:gridCol w:w="781"/>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72210" cy="175260"/>
                      <wp:effectExtent l="0" t="0" r="0" b="0"/>
                      <wp:wrapNone/>
                      <wp:docPr id="249" name="Frame241"/>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62585" cy="175260"/>
                      <wp:effectExtent l="0" t="0" r="0" b="0"/>
                      <wp:wrapNone/>
                      <wp:docPr id="251" name="Frame24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53" name="Frame24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5935" cy="175260"/>
                      <wp:effectExtent l="0" t="0" r="0" b="0"/>
                      <wp:wrapNone/>
                      <wp:docPr id="255" name="Frame2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474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Services</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r>
      <w:tr>
        <w:trPr/>
        <w:tc>
          <w:tcPr>
            <w:tcW w:w="184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11,100</w:t>
            </w:r>
          </w:p>
        </w:tc>
      </w:tr>
      <w:tr>
        <w:trPr/>
        <w:tc>
          <w:tcPr>
            <w:tcW w:w="184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184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r>
      <w:tr>
        <w:trPr/>
        <w:tc>
          <w:tcPr>
            <w:tcW w:w="184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Other Fees</w:t>
            </w:r>
            <w:r>
              <w:rPr>
                <w:rFonts w:ascii="Times New Roman;Times;serif" w:hAnsi="Times New Roman;Times;serif"/>
                <w:sz w:val="15"/>
              </w:rPr>
              <w:t>(4)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6,950</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5,900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11,603</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100"/>
              <w:jc w:val="both"/>
              <w:rPr>
                <w:rFonts w:ascii="Times New Roman;Times;serif" w:hAnsi="Times New Roman;Times;serif"/>
                <w:sz w:val="16"/>
              </w:rPr>
            </w:pPr>
            <w:r>
              <w:rPr>
                <w:rFonts w:ascii="Times New Roman;Times;serif" w:hAnsi="Times New Roman;Times;serif"/>
                <w:sz w:val="16"/>
              </w:rPr>
              <w:t>(1)</w:t>
            </w:r>
          </w:p>
        </w:tc>
        <w:tc>
          <w:tcPr>
            <w:tcW w:w="9908" w:type="dxa"/>
            <w:tcBorders/>
            <w:shd w:fill="auto" w:val="clear"/>
            <w:vAlign w:val="center"/>
          </w:tcPr>
          <w:p>
            <w:pPr>
              <w:pStyle w:val="TableContents"/>
              <w:spacing w:before="0" w:after="100"/>
              <w:jc w:val="both"/>
              <w:rPr>
                <w:rFonts w:ascii="Times New Roman;Times;serif" w:hAnsi="Times New Roman;Times;serif"/>
                <w:sz w:val="20"/>
              </w:rPr>
            </w:pPr>
            <w:r>
              <w:rPr>
                <w:rFonts w:ascii="Times New Roman;Times;serif" w:hAnsi="Times New Roman;Times;serif"/>
                <w:i/>
                <w:sz w:val="16"/>
              </w:rPr>
              <w:t>Audit Fees</w:t>
            </w:r>
            <w:r>
              <w:rPr>
                <w:rFonts w:ascii="Times New Roman;Times;serif" w:hAnsi="Times New Roman;Times;serif"/>
                <w:sz w:val="16"/>
              </w:rPr>
              <w:t>. Audit fees mean the aggregate fees billed or to be billed in each of the fiscal years listed for professional services rendered by our auditor for the audit of our annual consolidated financial statements, review of the interim financial information and review of documents filed with the SEC.</w:t>
            </w:r>
          </w:p>
        </w:tc>
      </w:tr>
    </w:tbl>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100"/>
              <w:jc w:val="both"/>
              <w:rPr>
                <w:rFonts w:ascii="Times New Roman;Times;serif" w:hAnsi="Times New Roman;Times;serif"/>
                <w:sz w:val="16"/>
              </w:rPr>
            </w:pPr>
            <w:r>
              <w:rPr>
                <w:rFonts w:ascii="Times New Roman;Times;serif" w:hAnsi="Times New Roman;Times;serif"/>
                <w:sz w:val="16"/>
              </w:rPr>
              <w:t>(2)</w:t>
            </w:r>
          </w:p>
        </w:tc>
        <w:tc>
          <w:tcPr>
            <w:tcW w:w="9899" w:type="dxa"/>
            <w:tcBorders/>
            <w:shd w:fill="auto" w:val="clear"/>
            <w:vAlign w:val="center"/>
          </w:tcPr>
          <w:p>
            <w:pPr>
              <w:pStyle w:val="TableContents"/>
              <w:spacing w:before="0" w:after="100"/>
              <w:jc w:val="both"/>
              <w:rPr>
                <w:rFonts w:ascii="Times New Roman;Times;serif" w:hAnsi="Times New Roman;Times;serif"/>
                <w:sz w:val="20"/>
              </w:rPr>
            </w:pPr>
            <w:r>
              <w:rPr>
                <w:rFonts w:ascii="Times New Roman;Times;serif" w:hAnsi="Times New Roman;Times;serif"/>
                <w:i/>
                <w:sz w:val="16"/>
              </w:rPr>
              <w:t xml:space="preserve">Audit-related Fees. </w:t>
            </w:r>
            <w:r>
              <w:rPr>
                <w:rFonts w:ascii="Times New Roman;Times;serif" w:hAnsi="Times New Roman;Times;serif"/>
                <w:sz w:val="16"/>
              </w:rPr>
              <w:t>Audit-related fees mean the aggregate fees billed or to be billed in each of the fiscal years listed for the assurance and related services rendered by our auditor, which were not included under Audit Fees above.</w:t>
            </w:r>
          </w:p>
        </w:tc>
      </w:tr>
    </w:tbl>
    <w:tbl>
      <w:tblPr>
        <w:tblW w:w="7982" w:type="dxa"/>
        <w:jc w:val="left"/>
        <w:tblInd w:w="0" w:type="dxa"/>
        <w:tblCellMar>
          <w:top w:w="0" w:type="dxa"/>
          <w:left w:w="0" w:type="dxa"/>
          <w:bottom w:w="0" w:type="dxa"/>
          <w:right w:w="0" w:type="dxa"/>
        </w:tblCellMar>
      </w:tblPr>
      <w:tblGrid>
        <w:gridCol w:w="331"/>
        <w:gridCol w:w="7651"/>
      </w:tblGrid>
      <w:tr>
        <w:trPr/>
        <w:tc>
          <w:tcPr>
            <w:tcW w:w="331" w:type="dxa"/>
            <w:tcBorders/>
            <w:shd w:fill="auto" w:val="clear"/>
            <w:vAlign w:val="center"/>
          </w:tcPr>
          <w:p>
            <w:pPr>
              <w:pStyle w:val="TableContents"/>
              <w:spacing w:before="0" w:after="100"/>
              <w:jc w:val="both"/>
              <w:rPr>
                <w:rFonts w:ascii="Times New Roman;Times;serif" w:hAnsi="Times New Roman;Times;serif"/>
                <w:sz w:val="16"/>
              </w:rPr>
            </w:pPr>
            <w:r>
              <w:rPr>
                <w:rFonts w:ascii="Times New Roman;Times;serif" w:hAnsi="Times New Roman;Times;serif"/>
                <w:sz w:val="16"/>
              </w:rPr>
              <w:t>(3)</w:t>
            </w:r>
          </w:p>
        </w:tc>
        <w:tc>
          <w:tcPr>
            <w:tcW w:w="7651" w:type="dxa"/>
            <w:tcBorders/>
            <w:shd w:fill="auto" w:val="clear"/>
            <w:vAlign w:val="center"/>
          </w:tcPr>
          <w:p>
            <w:pPr>
              <w:pStyle w:val="TableContents"/>
              <w:spacing w:before="0" w:after="100"/>
              <w:jc w:val="both"/>
              <w:rPr>
                <w:rFonts w:ascii="Times New Roman;Times;serif" w:hAnsi="Times New Roman;Times;serif"/>
                <w:sz w:val="20"/>
              </w:rPr>
            </w:pPr>
            <w:r>
              <w:rPr>
                <w:rFonts w:ascii="Times New Roman;Times;serif" w:hAnsi="Times New Roman;Times;serif"/>
                <w:i/>
                <w:sz w:val="16"/>
              </w:rPr>
              <w:t>Tax Fees.</w:t>
            </w:r>
            <w:r>
              <w:rPr>
                <w:rFonts w:ascii="Times New Roman;Times;serif" w:hAnsi="Times New Roman;Times;serif"/>
                <w:sz w:val="20"/>
              </w:rPr>
              <w:t xml:space="preserve"> </w:t>
            </w:r>
            <w:r>
              <w:rPr>
                <w:rFonts w:ascii="Times New Roman;Times;serif" w:hAnsi="Times New Roman;Times;serif"/>
                <w:sz w:val="16"/>
              </w:rPr>
              <w:t>Tax fees mean the aggregate fees incurred from professional tax services rendered by our auditor.</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100"/>
              <w:jc w:val="both"/>
              <w:rPr>
                <w:rFonts w:ascii="Times New Roman;Times;serif" w:hAnsi="Times New Roman;Times;serif"/>
                <w:sz w:val="16"/>
              </w:rPr>
            </w:pPr>
            <w:r>
              <w:rPr>
                <w:rFonts w:ascii="Times New Roman;Times;serif" w:hAnsi="Times New Roman;Times;serif"/>
                <w:sz w:val="16"/>
              </w:rPr>
              <w:t>(4)</w:t>
            </w:r>
          </w:p>
        </w:tc>
        <w:tc>
          <w:tcPr>
            <w:tcW w:w="9891" w:type="dxa"/>
            <w:tcBorders/>
            <w:shd w:fill="auto" w:val="clear"/>
            <w:vAlign w:val="center"/>
          </w:tcPr>
          <w:p>
            <w:pPr>
              <w:pStyle w:val="TableContents"/>
              <w:spacing w:before="0" w:after="100"/>
              <w:jc w:val="both"/>
              <w:rPr>
                <w:rFonts w:ascii="Times New Roman;Times;serif" w:hAnsi="Times New Roman;Times;serif"/>
                <w:sz w:val="20"/>
              </w:rPr>
            </w:pPr>
            <w:r>
              <w:rPr>
                <w:rFonts w:ascii="Times New Roman;Times;serif" w:hAnsi="Times New Roman;Times;serif"/>
                <w:i/>
                <w:sz w:val="16"/>
              </w:rPr>
              <w:t xml:space="preserve">Other Fees. </w:t>
            </w:r>
            <w:r>
              <w:rPr>
                <w:rFonts w:ascii="Times New Roman;Times;serif" w:hAnsi="Times New Roman;Times;serif"/>
                <w:sz w:val="16"/>
              </w:rPr>
              <w:t>Other fees mean the aggregate fees incurred from professional services rendered by our auditor other than services included under Audit Fees, Audit-related Fees and Tax Fees.</w:t>
            </w:r>
          </w:p>
        </w:tc>
      </w:tr>
    </w:tbl>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policy of our audit committee is to pre-approve all audit and non-audit services provided by KPMG Huazhen LLP, including audit services, audit-related services, tax services and other services, as described above.</w:t>
      </w:r>
    </w:p>
    <w:p>
      <w:pPr>
        <w:pStyle w:val="TextBody"/>
        <w:spacing w:before="0" w:after="200"/>
        <w:ind w:left="0" w:right="0" w:hanging="0"/>
        <w:jc w:val="left"/>
        <w:rPr>
          <w:rFonts w:ascii="Times New Roman;Times;serif" w:hAnsi="Times New Roman;Times;serif"/>
          <w:sz w:val="20"/>
        </w:rPr>
      </w:pPr>
      <w:bookmarkStart w:id="63" w:name="ITEM16DEXEMPTIONSFROMTHELISTINGSTANDARDS"/>
      <w:bookmarkStart w:id="64" w:name="_43c350c8_bb77_459b_a36f_b43f69d5e974"/>
      <w:bookmarkEnd w:id="63"/>
      <w:bookmarkEnd w:id="64"/>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jc w:val="left"/>
        <w:rPr>
          <w:rFonts w:ascii="Times New Roman;Times;serif" w:hAnsi="Times New Roman;Times;serif"/>
          <w:sz w:val="20"/>
        </w:rPr>
      </w:pPr>
      <w:bookmarkStart w:id="65" w:name="ITEM16EPURCHASESOFEQUITYSECURITIESBYTHEI"/>
      <w:bookmarkStart w:id="66" w:name="_40bde4cc_5187_4ecd_9b23_6aab91cca543"/>
      <w:bookmarkEnd w:id="65"/>
      <w:bookmarkEnd w:id="66"/>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Neither we nor any “affiliated purchaser,” as defined in Rule 10b-18(a)(3) of the Exchange Act, purchased any of our equity securities during the period covered by this annual report.</w:t>
      </w:r>
    </w:p>
    <w:p>
      <w:pPr>
        <w:pStyle w:val="TextBody"/>
        <w:spacing w:before="0" w:after="200"/>
        <w:ind w:left="0" w:right="0" w:hanging="0"/>
        <w:jc w:val="left"/>
        <w:rPr>
          <w:rFonts w:ascii="Times New Roman;Times;serif" w:hAnsi="Times New Roman;Times;serif"/>
          <w:sz w:val="20"/>
        </w:rPr>
      </w:pPr>
      <w:bookmarkStart w:id="67" w:name="ITEM16FCHANGEINREGISTRANTSCERTIFYINGACCO"/>
      <w:bookmarkStart w:id="68" w:name="_8f5aad12_40a1_416f_8328_6aded3fb4f1e"/>
      <w:bookmarkEnd w:id="67"/>
      <w:bookmarkEnd w:id="68"/>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left"/>
        <w:rPr>
          <w:rFonts w:ascii="Times New Roman;Times;serif" w:hAnsi="Times New Roman;Times;serif"/>
          <w:sz w:val="20"/>
        </w:rPr>
      </w:pPr>
      <w:bookmarkStart w:id="69" w:name="ITEM16GCORPORATEGOVERNANCE_435937"/>
      <w:bookmarkStart w:id="70" w:name="_c79167d9_75f0_4bf2_b75b_db38f4b50206"/>
      <w:bookmarkEnd w:id="69"/>
      <w:bookmarkEnd w:id="70"/>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As an exempted company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and (iii) a majority of independent directors and that the audit committee consist of at least three members. To the extent that we choose to follow home country practice in the future, our shareholders may be afforded less protection than they otherwise would enjoy under Nasdaq corporate governance listing standards applicable to U.S. domestic issuers.  See “Item 3. Key Information—3.D. Risk Factors—Risks Related to Our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 ”</w:t>
      </w:r>
    </w:p>
    <w:p>
      <w:pPr>
        <w:pStyle w:val="TextBody"/>
        <w:spacing w:before="0" w:after="200"/>
        <w:ind w:left="0" w:right="0" w:hanging="0"/>
        <w:jc w:val="left"/>
        <w:rPr>
          <w:rFonts w:ascii="Times New Roman;Times;serif" w:hAnsi="Times New Roman;Times;serif"/>
          <w:sz w:val="20"/>
        </w:rPr>
      </w:pPr>
      <w:bookmarkStart w:id="71" w:name="ITEM16HMINESAFETYDISCLOSURE_889143"/>
      <w:bookmarkStart w:id="72" w:name="_28ef0792_9de0_423c_a37a_043ee011ac3a"/>
      <w:bookmarkEnd w:id="71"/>
      <w:bookmarkEnd w:id="72"/>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jc w:val="left"/>
        <w:rPr>
          <w:rFonts w:ascii="Times New Roman;Times;serif" w:hAnsi="Times New Roman;Times;serif"/>
          <w:sz w:val="20"/>
        </w:rPr>
      </w:pPr>
      <w:bookmarkStart w:id="73" w:name="ITEM16IDISCLOSUREREGARDINGFOREIGNJURISDI"/>
      <w:bookmarkStart w:id="74" w:name="_8c92faa6_badd_4651_9aea_6494a5e7dc6c"/>
      <w:bookmarkEnd w:id="73"/>
      <w:bookmarkEnd w:id="74"/>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75" w:name="PARTIII_467477"/>
      <w:bookmarkStart w:id="76" w:name="_208d8748_ebab_4ce7_8b5b_c405795a7773"/>
      <w:bookmarkEnd w:id="75"/>
      <w:bookmarkEnd w:id="76"/>
      <w:r>
        <w:rPr>
          <w:rFonts w:ascii="Times New Roman;Times;serif" w:hAnsi="Times New Roman;Times;serif"/>
          <w:b/>
          <w:sz w:val="20"/>
        </w:rPr>
        <w:t>PART III</w:t>
      </w:r>
    </w:p>
    <w:p>
      <w:pPr>
        <w:pStyle w:val="TextBody"/>
        <w:spacing w:before="0" w:after="200"/>
        <w:ind w:left="0" w:right="0" w:hanging="0"/>
        <w:jc w:val="left"/>
        <w:rPr>
          <w:rFonts w:ascii="Times New Roman;Times;serif" w:hAnsi="Times New Roman;Times;serif"/>
          <w:sz w:val="20"/>
        </w:rPr>
      </w:pPr>
      <w:bookmarkStart w:id="77" w:name="ITEM17FINANCIALSTATEMENTS_231657"/>
      <w:bookmarkEnd w:id="77"/>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200"/>
        <w:ind w:left="0" w:right="0" w:hanging="0"/>
        <w:jc w:val="left"/>
        <w:rPr>
          <w:rFonts w:ascii="Times New Roman;Times;serif" w:hAnsi="Times New Roman;Times;serif"/>
          <w:sz w:val="20"/>
        </w:rPr>
      </w:pPr>
      <w:bookmarkStart w:id="78" w:name="ITEM18FINANCIALSTATEMENTS_151201"/>
      <w:bookmarkStart w:id="79" w:name="_01edf05f_1d33_457f_926d_93b58e24b8e5"/>
      <w:bookmarkEnd w:id="78"/>
      <w:bookmarkEnd w:id="79"/>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of Atour Lifestyle Holdings Ltd. are included at the end of this annual report.</w:t>
      </w:r>
    </w:p>
    <w:p>
      <w:pPr>
        <w:pStyle w:val="TextBody"/>
        <w:spacing w:before="0" w:after="0"/>
        <w:ind w:left="0" w:right="0" w:hanging="0"/>
        <w:jc w:val="left"/>
        <w:rPr>
          <w:rFonts w:ascii="Times New Roman;Times;serif" w:hAnsi="Times New Roman;Times;serif"/>
          <w:sz w:val="20"/>
        </w:rPr>
      </w:pPr>
      <w:bookmarkStart w:id="80" w:name="ITEM19EXHIBITS_272146"/>
      <w:bookmarkStart w:id="81" w:name="_4a1f6607_88bf_4f23_a9b4_04083d3e93a1"/>
      <w:bookmarkEnd w:id="80"/>
      <w:bookmarkEnd w:id="81"/>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58"/>
        <w:gridCol w:w="326"/>
        <w:gridCol w:w="9021"/>
      </w:tblGrid>
      <w:tr>
        <w:trPr/>
        <w:tc>
          <w:tcPr>
            <w:tcW w:w="858"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44830" cy="175260"/>
                      <wp:effectExtent l="0" t="0" r="0" b="0"/>
                      <wp:wrapNone/>
                      <wp:docPr id="256" name="Frame248"/>
                      <a:graphic xmlns:a="http://schemas.openxmlformats.org/drawingml/2006/main">
                        <a:graphicData uri="http://schemas.microsoft.com/office/word/2010/wordprocessingShape">
                          <wps:wsp>
                            <wps:cNvSpPr txBox="1"/>
                            <wps:spPr>
                              <a:xfrm>
                                <a:off x="0" y="0"/>
                                <a:ext cx="544830"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21.45pt;mso-position-horizontal:left;mso-position-horizontal-relative:text">
                      <v:textbox>
                        <w:txbxContent>
                          <w:p>
                            <w:pPr>
                              <w:pStyle w:val="TableHeading"/>
                              <w:spacing w:before="0" w:after="0"/>
                              <w:ind w:left="0" w:right="0" w:hanging="0"/>
                              <w:rPr/>
                            </w:pPr>
                            <w:r>
                              <w:rPr/>
                              <w:t>​</w:t>
                            </w:r>
                          </w:p>
                        </w:txbxContent>
                      </v:textbox>
                    </v:rect>
                  </w:pict>
                </mc:Fallback>
              </mc:AlternateContent>
            </w:r>
          </w:p>
        </w:tc>
        <w:tc>
          <w:tcPr>
            <w:tcW w:w="326" w:type="dxa"/>
            <w:tcBorders/>
            <w:shd w:fill="auto" w:val="clear"/>
            <w:vAlign w:val="center"/>
          </w:tcPr>
          <w:p>
            <w:pPr>
              <w:pStyle w:val="TableHeading"/>
              <w:spacing w:before="0" w:after="0"/>
              <w:ind w:left="0" w:right="0" w:hanging="0"/>
              <w:jc w:val="left"/>
              <w:rPr/>
            </w:pPr>
            <w:r>
              <w:rPr/>
              <w:t>​</w:t>
            </w:r>
          </w:p>
        </w:tc>
        <w:tc>
          <w:tcPr>
            <w:tcW w:w="902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728335" cy="175260"/>
                      <wp:effectExtent l="0" t="0" r="0" b="0"/>
                      <wp:wrapNone/>
                      <wp:docPr id="257" name="Frame249"/>
                      <a:graphic xmlns:a="http://schemas.openxmlformats.org/drawingml/2006/main">
                        <a:graphicData uri="http://schemas.microsoft.com/office/word/2010/wordprocessingShape">
                          <wps:wsp>
                            <wps:cNvSpPr txBox="1"/>
                            <wps:spPr>
                              <a:xfrm>
                                <a:off x="0" y="0"/>
                                <a:ext cx="5728335" cy="175260"/>
                              </a:xfrm>
                              <a:prstGeom prst="rect"/>
                            </wps:spPr>
                            <wps:txbx>
                              <w:txbxContent>
                                <w:p>
                                  <w:pPr>
                                    <w:pStyle w:val="TableHeading"/>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05pt;height:13.8pt;mso-wrap-distance-left:0pt;mso-wrap-distance-right:0pt;mso-wrap-distance-top:0pt;mso-wrap-distance-bottom:0pt;margin-top:0pt;mso-position-vertical:top;mso-position-vertical-relative:text;margin-left:-225.55pt;mso-position-horizontal:left;mso-position-horizontal-relative:text">
                      <v:textbox>
                        <w:txbxContent>
                          <w:p>
                            <w:pPr>
                              <w:pStyle w:val="TableHeading"/>
                              <w:spacing w:before="0" w:after="0"/>
                              <w:ind w:left="0" w:right="0" w:hanging="0"/>
                              <w:rPr/>
                            </w:pPr>
                            <w:r>
                              <w:rPr/>
                              <w:t>​</w:t>
                            </w:r>
                          </w:p>
                        </w:txbxContent>
                      </v:textbox>
                    </v:rect>
                  </w:pict>
                </mc:Fallback>
              </mc:AlternateContent>
            </w:r>
          </w:p>
        </w:tc>
      </w:tr>
      <w:tr>
        <w:trPr/>
        <w:tc>
          <w:tcPr>
            <w:tcW w:w="85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902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Description of Document</w:t>
            </w:r>
          </w:p>
        </w:tc>
      </w:tr>
      <w:tr>
        <w:trPr/>
        <w:tc>
          <w:tcPr>
            <w:tcW w:w="858"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top w:val="single" w:sz="2" w:space="0" w:color="000000"/>
            </w:tcBorders>
            <w:shd w:fill="auto" w:val="clear"/>
            <w:tcMar>
              <w:top w:w="28" w:type="dxa"/>
            </w:tcMar>
            <w:vAlign w:val="center"/>
          </w:tcPr>
          <w:p>
            <w:pPr>
              <w:pStyle w:val="TableContents"/>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Ninth Amended and Restated Memorandum and Articles of Association of the Registrant, as currently in effect (incorporated herein by reference to Exhibit 3.2 to the registration statement on Form F-1 (File No. 333-256881), as amended, initially filed with the SEC on September 20,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2.1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Registrant's Specimen American Depositary Receipt (included in Exhibit 2.3)</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2.2</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2">
              <w:r>
                <w:rPr>
                  <w:rStyle w:val="InternetLink"/>
                  <w:rFonts w:ascii="Times New Roman;Times;serif" w:hAnsi="Times New Roman;Times;serif"/>
                  <w:b w:val="false"/>
                  <w:i w:val="false"/>
                  <w:caps w:val="false"/>
                  <w:smallCaps w:val="false"/>
                  <w:sz w:val="18"/>
                </w:rPr>
                <w:t>Registrant’s Specimen Certificate for Ordinary Shares (incorporated herein by reference to Exhibit 4.2 to the registration statement on Form F-1 (File No. 333-256881), as amended, initially filed with the SEC on June 8, 2021)</w:t>
              </w:r>
            </w:hyperlink>
            <w:r>
              <w:rPr>
                <w:rFonts w:ascii="Times New Roman;Times;serif" w:hAnsi="Times New Roman;Times;serif"/>
                <w:sz w:val="18"/>
              </w:rPr>
              <w:t xml:space="preserve"> </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2.3</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Deposit Agreement among the Registrant, the depositary, owners and holders of the American Depositary Shares (incorporated herein by reference to Exhibit 4.3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2.4*</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2d4.htm">
              <w:r>
                <w:rPr>
                  <w:rStyle w:val="InternetLink"/>
                  <w:rFonts w:ascii="Times New Roman;Times;serif" w:hAnsi="Times New Roman;Times;serif"/>
                  <w:b w:val="false"/>
                  <w:i w:val="false"/>
                  <w:caps w:val="false"/>
                  <w:smallCaps w:val="false"/>
                  <w:sz w:val="20"/>
                </w:rPr>
                <w:t>Description of Registrant’s Securities</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4.1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Public Company Share Incentive Plan (incorporated herein by reference to Exhibit 10.1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4.2</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Indemnification Agreement with the Registrant’s directors (incorporated herein by reference to Exhibit 10.2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4.3</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Employment Agreement between the Registrant and an executive officer of the Registrant (incorporated herein by reference to Exhibit 10.3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4.4</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English translation of the Collaboration Agreement dated January 1, 2018 by and among Shanghai Atour Business Management (Group) Co., Ltd. and certain subsidiaries of Trip.com Group Ltd (incorporated herein by reference to Exhibit 10.4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4.5</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Shareholders Agreement dated March 3, 2021 by and among Atour Lifestyle Holdings Limited and certain other parties as listed therein (incorporated herein by reference to Exhibit 4.4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8.1*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8d1.htm">
              <w:r>
                <w:rPr>
                  <w:rStyle w:val="InternetLink"/>
                  <w:rFonts w:ascii="Times New Roman;Times;serif" w:hAnsi="Times New Roman;Times;serif"/>
                  <w:b w:val="false"/>
                  <w:i w:val="false"/>
                  <w:caps w:val="false"/>
                  <w:smallCaps w:val="false"/>
                  <w:sz w:val="18"/>
                </w:rPr>
                <w:t>Principal Subsidiaries of the Registrant</w:t>
              </w:r>
            </w:hyperlink>
            <w:r>
              <w:rPr>
                <w:rFonts w:ascii="Times New Roman;Times;serif" w:hAnsi="Times New Roman;Times;serif"/>
                <w:sz w:val="18"/>
              </w:rPr>
              <w:t xml:space="preserve"> </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11.1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registration statement on Form F-1 (File No. 333-256881), as amended, initially filed with the SEC on June 8, 2021)</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12.1*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12d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12.2*</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12d2.htm">
              <w:r>
                <w:rPr>
                  <w:rStyle w:val="InternetLink"/>
                  <w:rFonts w:ascii="Times New Roman;Times;serif" w:hAnsi="Times New Roman;Times;serif"/>
                  <w:b w:val="false"/>
                  <w:i w:val="false"/>
                  <w:caps w:val="false"/>
                  <w:smallCaps w:val="false"/>
                  <w:sz w:val="20"/>
                </w:rPr>
                <w:t>Certification by Principal Accounting Officer Pursuant to Section 302 of the Sarbanes-Oxley Act of 2002</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13.1**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13d1.htm">
              <w:r>
                <w:rPr>
                  <w:rStyle w:val="InternetLink"/>
                  <w:rFonts w:ascii="Times New Roman;Times;serif" w:hAnsi="Times New Roman;Times;serif"/>
                  <w:b w:val="false"/>
                  <w:i w:val="false"/>
                  <w:caps w:val="false"/>
                  <w:smallCaps w:val="false"/>
                  <w:sz w:val="20"/>
                </w:rPr>
                <w:t>Certification by Principal Executive Officer Pursuant to Section 906 of the Sarbanes-Oxley Act of 2002</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13.2**</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13d2.htm">
              <w:r>
                <w:rPr>
                  <w:rStyle w:val="InternetLink"/>
                  <w:rFonts w:ascii="Times New Roman;Times;serif" w:hAnsi="Times New Roman;Times;serif"/>
                  <w:b w:val="false"/>
                  <w:i w:val="false"/>
                  <w:caps w:val="false"/>
                  <w:smallCaps w:val="false"/>
                  <w:sz w:val="20"/>
                </w:rPr>
                <w:t>Certification by Principal Accounting Officer Pursuant to Section 906 of the Sarbanes-Oxley Act of 2002</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15.1*</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15d1.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15.2*</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pPr>
            <w:hyperlink w:anchor="atat-20221231xex15d2.htm">
              <w:r>
                <w:rPr>
                  <w:rStyle w:val="InternetLink"/>
                  <w:rFonts w:ascii="Times New Roman;Times;serif" w:hAnsi="Times New Roman;Times;serif"/>
                  <w:b w:val="false"/>
                  <w:i w:val="false"/>
                  <w:caps w:val="false"/>
                  <w:smallCaps w:val="false"/>
                  <w:sz w:val="20"/>
                </w:rPr>
                <w:t>Consent of KPMG Huazhen LLP, Independent Registered Public Accounting Firm</w:t>
              </w:r>
            </w:hyperlink>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101.INS*</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XBRL Instance Document</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101.SCH*</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XBRL Taxonomy Extension Schema Document</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101.CAL*</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XBRL Taxonomy Extension Calculation Linkbase Document</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101.DEF*</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XBRL Taxonomy Extension Definition Linkbase Document</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101.LAB*</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XBRL Taxonomy Extension Label Linkbase Document</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101.PRE*</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XBRL Taxonomy Extension Presentation Linkbase Document</w:t>
            </w:r>
          </w:p>
        </w:tc>
      </w:tr>
      <w:tr>
        <w:trPr/>
        <w:tc>
          <w:tcPr>
            <w:tcW w:w="858"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104</w:t>
            </w:r>
          </w:p>
        </w:tc>
        <w:tc>
          <w:tcPr>
            <w:tcW w:w="326" w:type="dxa"/>
            <w:tcBorders/>
            <w:shd w:fill="auto" w:val="clear"/>
            <w:vAlign w:val="center"/>
          </w:tcPr>
          <w:p>
            <w:pPr>
              <w:pStyle w:val="TableContents"/>
              <w:spacing w:before="0" w:after="0"/>
              <w:ind w:left="0" w:right="0" w:hanging="0"/>
              <w:jc w:val="both"/>
              <w:rPr/>
            </w:pPr>
            <w:r>
              <w:rPr/>
              <w:t>​</w:t>
            </w:r>
          </w:p>
        </w:tc>
        <w:tc>
          <w:tcPr>
            <w:tcW w:w="902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Cover Page Interactive Data File (embedded within the Inline XBRL document)</w:t>
            </w:r>
          </w:p>
        </w:tc>
      </w:tr>
    </w:tbl>
    <w:p>
      <w:pPr>
        <w:pStyle w:val="TextBody"/>
        <w:spacing w:before="0" w:after="0"/>
        <w:ind w:left="0" w:right="0" w:hanging="0"/>
        <w:rPr/>
      </w:pPr>
      <w:r>
        <w:rPr/>
        <w:t>​</w:t>
      </w:r>
    </w:p>
    <w:tbl>
      <w:tblPr>
        <w:tblW w:w="1547" w:type="dxa"/>
        <w:jc w:val="left"/>
        <w:tblInd w:w="0" w:type="dxa"/>
        <w:tblCellMar>
          <w:top w:w="0" w:type="dxa"/>
          <w:left w:w="0" w:type="dxa"/>
          <w:bottom w:w="0" w:type="dxa"/>
          <w:right w:w="0" w:type="dxa"/>
        </w:tblCellMar>
      </w:tblPr>
      <w:tblGrid>
        <w:gridCol w:w="226"/>
        <w:gridCol w:w="1321"/>
      </w:tblGrid>
      <w:tr>
        <w:trPr/>
        <w:tc>
          <w:tcPr>
            <w:tcW w:w="226" w:type="dxa"/>
            <w:tcBorders/>
            <w:shd w:fill="auto" w:val="clear"/>
            <w:vAlign w:val="center"/>
          </w:tcPr>
          <w:p>
            <w:pPr>
              <w:pStyle w:val="TableContents"/>
              <w:spacing w:before="0" w:after="120"/>
              <w:jc w:val="both"/>
              <w:rPr>
                <w:rFonts w:ascii="Times New Roman;Times;serif" w:hAnsi="Times New Roman;Times;serif"/>
                <w:sz w:val="20"/>
              </w:rPr>
            </w:pPr>
            <w:r>
              <w:rPr>
                <w:rFonts w:ascii="Times New Roman;Times;serif" w:hAnsi="Times New Roman;Times;serif"/>
                <w:sz w:val="20"/>
              </w:rPr>
              <w:t>*</w:t>
            </w:r>
          </w:p>
        </w:tc>
        <w:tc>
          <w:tcPr>
            <w:tcW w:w="1321" w:type="dxa"/>
            <w:tcBorders/>
            <w:shd w:fill="auto" w:val="clear"/>
            <w:vAlign w:val="center"/>
          </w:tcPr>
          <w:p>
            <w:pPr>
              <w:pStyle w:val="TableContents"/>
              <w:spacing w:before="0" w:after="120"/>
              <w:jc w:val="both"/>
              <w:rPr>
                <w:rFonts w:ascii="Times New Roman;Times;serif" w:hAnsi="Times New Roman;Times;serif"/>
                <w:sz w:val="20"/>
              </w:rPr>
            </w:pPr>
            <w:r>
              <w:rPr>
                <w:rFonts w:ascii="Times New Roman;Times;serif" w:hAnsi="Times New Roman;Times;serif"/>
                <w:sz w:val="20"/>
              </w:rPr>
              <w:t>Filed herewith</w:t>
            </w:r>
          </w:p>
        </w:tc>
      </w:tr>
    </w:tbl>
    <w:tbl>
      <w:tblPr>
        <w:tblW w:w="2042" w:type="dxa"/>
        <w:jc w:val="left"/>
        <w:tblInd w:w="0" w:type="dxa"/>
        <w:tblCellMar>
          <w:top w:w="0" w:type="dxa"/>
          <w:left w:w="0" w:type="dxa"/>
          <w:bottom w:w="0" w:type="dxa"/>
          <w:right w:w="0" w:type="dxa"/>
        </w:tblCellMar>
      </w:tblPr>
      <w:tblGrid>
        <w:gridCol w:w="331"/>
        <w:gridCol w:w="1711"/>
      </w:tblGrid>
      <w:tr>
        <w:trPr/>
        <w:tc>
          <w:tcPr>
            <w:tcW w:w="33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t>
            </w:r>
          </w:p>
        </w:tc>
        <w:tc>
          <w:tcPr>
            <w:tcW w:w="171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82" w:name="SIGNATURES_534437"/>
      <w:bookmarkStart w:id="83" w:name="SIGNATURES_845244"/>
      <w:bookmarkStart w:id="84" w:name="_af1c5a76_a22f_4552_adae_83e66738082a"/>
      <w:bookmarkEnd w:id="82"/>
      <w:bookmarkEnd w:id="83"/>
      <w:bookmarkEnd w:id="84"/>
      <w:r>
        <w:rPr>
          <w:rFonts w:ascii="Times New Roman;Times;serif" w:hAnsi="Times New Roman;Times;serif"/>
          <w:b/>
          <w:sz w:val="20"/>
        </w:rPr>
        <w:t>SIGNATURES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p>
      <w:pPr>
        <w:pStyle w:val="TextBody"/>
        <w:spacing w:before="0" w:after="0"/>
        <w:ind w:left="0" w:right="0" w:firstLine="360"/>
        <w:jc w:val="both"/>
        <w:rPr/>
      </w:pPr>
      <w:r>
        <w:rPr/>
        <w:t>​</w:t>
      </w:r>
    </w:p>
    <w:tbl>
      <w:tblPr>
        <w:tblW w:w="4101" w:type="dxa"/>
        <w:jc w:val="left"/>
        <w:tblInd w:w="0" w:type="dxa"/>
        <w:tblCellMar>
          <w:top w:w="0" w:type="dxa"/>
          <w:left w:w="0" w:type="dxa"/>
          <w:bottom w:w="0" w:type="dxa"/>
          <w:right w:w="0" w:type="dxa"/>
        </w:tblCellMar>
      </w:tblPr>
      <w:tblGrid>
        <w:gridCol w:w="124"/>
        <w:gridCol w:w="406"/>
        <w:gridCol w:w="3571"/>
      </w:tblGrid>
      <w:tr>
        <w:trPr/>
        <w:tc>
          <w:tcPr>
            <w:tcW w:w="124" w:type="dxa"/>
            <w:tcBorders/>
            <w:shd w:fill="auto" w:val="clear"/>
            <w:vAlign w:val="center"/>
          </w:tcPr>
          <w:p>
            <w:pPr>
              <w:pStyle w:val="TableContents"/>
              <w:spacing w:before="0" w:after="0"/>
              <w:ind w:left="0" w:right="0" w:hanging="0"/>
              <w:jc w:val="both"/>
              <w:rPr/>
            </w:pPr>
            <w:r>
              <w:rPr/>
              <w:t>​</w:t>
            </w:r>
          </w:p>
        </w:tc>
        <w:tc>
          <w:tcPr>
            <w:tcW w:w="3977" w:type="dxa"/>
            <w:gridSpan w:val="2"/>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Atour Lifestyle Holdings Limited</w:t>
            </w:r>
          </w:p>
        </w:tc>
      </w:tr>
      <w:tr>
        <w:trPr/>
        <w:tc>
          <w:tcPr>
            <w:tcW w:w="124" w:type="dxa"/>
            <w:tcBorders/>
            <w:shd w:fill="auto" w:val="clear"/>
            <w:vAlign w:val="center"/>
          </w:tcPr>
          <w:p>
            <w:pPr>
              <w:pStyle w:val="TableContents"/>
              <w:spacing w:before="0" w:after="0"/>
              <w:ind w:left="0" w:right="0" w:hanging="0"/>
              <w:jc w:val="both"/>
              <w:rPr/>
            </w:pPr>
            <w:r>
              <w:rPr/>
              <w:t>​</w:t>
            </w:r>
          </w:p>
        </w:tc>
        <w:tc>
          <w:tcPr>
            <w:tcW w:w="3977" w:type="dxa"/>
            <w:gridSpan w:val="2"/>
            <w:tcBorders/>
            <w:shd w:fill="auto" w:val="clear"/>
            <w:vAlign w:val="center"/>
          </w:tcPr>
          <w:p>
            <w:pPr>
              <w:pStyle w:val="TableContents"/>
              <w:spacing w:before="0" w:after="0"/>
              <w:ind w:left="0" w:right="0" w:hanging="0"/>
              <w:jc w:val="both"/>
              <w:rPr/>
            </w:pPr>
            <w:r>
              <w:rPr/>
              <w:t>​</w:t>
            </w:r>
          </w:p>
        </w:tc>
      </w:tr>
      <w:tr>
        <w:trPr/>
        <w:tc>
          <w:tcPr>
            <w:tcW w:w="124"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pPr>
            <w:r>
              <w:rPr/>
              <w:t>​</w:t>
            </w:r>
          </w:p>
        </w:tc>
        <w:tc>
          <w:tcPr>
            <w:tcW w:w="3571" w:type="dxa"/>
            <w:tcBorders/>
            <w:shd w:fill="auto" w:val="clear"/>
            <w:vAlign w:val="center"/>
          </w:tcPr>
          <w:p>
            <w:pPr>
              <w:pStyle w:val="TableContents"/>
              <w:spacing w:before="0" w:after="0"/>
              <w:ind w:left="0" w:right="0" w:hanging="0"/>
              <w:jc w:val="both"/>
              <w:rPr/>
            </w:pPr>
            <w:r>
              <w:rPr/>
              <w:t>​</w:t>
            </w:r>
          </w:p>
        </w:tc>
      </w:tr>
      <w:tr>
        <w:trPr/>
        <w:tc>
          <w:tcPr>
            <w:tcW w:w="124"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57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Haijun Wang</w:t>
            </w:r>
          </w:p>
        </w:tc>
      </w:tr>
      <w:tr>
        <w:trPr/>
        <w:tc>
          <w:tcPr>
            <w:tcW w:w="124"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pPr>
            <w:r>
              <w:rPr/>
              <w:t>​</w:t>
            </w:r>
          </w:p>
        </w:tc>
        <w:tc>
          <w:tcPr>
            <w:tcW w:w="3571" w:type="dxa"/>
            <w:tcBorders>
              <w:top w:val="single" w:sz="2" w:space="0" w:color="000000"/>
            </w:tcBorders>
            <w:shd w:fill="auto" w:val="clear"/>
            <w:tcMar>
              <w:top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Name:</w:t>
            </w:r>
            <w:r>
              <w:rPr>
                <w:rFonts w:ascii="Times New Roman;Times;serif" w:hAnsi="Times New Roman;Times;serif"/>
                <w:sz w:val="20"/>
              </w:rPr>
              <w:t>Haijun Wang</w:t>
            </w:r>
          </w:p>
        </w:tc>
      </w:tr>
      <w:tr>
        <w:trPr/>
        <w:tc>
          <w:tcPr>
            <w:tcW w:w="124" w:type="dxa"/>
            <w:tcBorders/>
            <w:shd w:fill="auto" w:val="clear"/>
            <w:vAlign w:val="center"/>
          </w:tcPr>
          <w:p>
            <w:pPr>
              <w:pStyle w:val="TableContents"/>
              <w:spacing w:before="0" w:after="0"/>
              <w:ind w:left="0" w:right="0" w:hanging="0"/>
              <w:jc w:val="both"/>
              <w:rPr/>
            </w:pPr>
            <w:r>
              <w:rPr/>
              <w:t>​</w:t>
            </w:r>
          </w:p>
        </w:tc>
        <w:tc>
          <w:tcPr>
            <w:tcW w:w="406" w:type="dxa"/>
            <w:tcBorders/>
            <w:shd w:fill="auto" w:val="clear"/>
            <w:vAlign w:val="center"/>
          </w:tcPr>
          <w:p>
            <w:pPr>
              <w:pStyle w:val="TableContents"/>
              <w:spacing w:before="0" w:after="0"/>
              <w:ind w:left="0" w:right="0" w:hanging="0"/>
              <w:jc w:val="both"/>
              <w:rPr/>
            </w:pPr>
            <w:r>
              <w:rPr/>
              <w:t>​</w:t>
            </w:r>
          </w:p>
        </w:tc>
        <w:tc>
          <w:tcPr>
            <w:tcW w:w="357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Title:</w:t>
            </w:r>
            <w:r>
              <w:rPr>
                <w:rFonts w:ascii="Times New Roman;Times;serif" w:hAnsi="Times New Roman;Times;serif"/>
                <w:sz w:val="20"/>
              </w:rPr>
              <w:t>Chief Executive Officer and Director</w:t>
            </w:r>
          </w:p>
        </w:tc>
      </w:tr>
    </w:tbl>
    <w:p>
      <w:pPr>
        <w:pStyle w:val="TextBody"/>
        <w:spacing w:before="0" w:after="0"/>
        <w:ind w:left="0" w:right="0" w:hanging="0"/>
        <w:jc w:val="both"/>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Date: April 28, 2023</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5" w:name="_0b7a8285_4248_4a66_aa1b_24942414652f"/>
      <w:bookmarkEnd w:id="85"/>
      <w:r>
        <w:rPr>
          <w:rFonts w:ascii="Times New Roman;Times;serif" w:hAnsi="Times New Roman;Times;serif"/>
          <w:b/>
          <w:sz w:val="20"/>
        </w:rPr>
        <w:t>ATOUR LIFESTYLE HOLDINGS LIMITED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CellMar>
          <w:top w:w="0" w:type="dxa"/>
          <w:left w:w="0" w:type="dxa"/>
          <w:bottom w:w="0" w:type="dxa"/>
          <w:right w:w="0" w:type="dxa"/>
        </w:tblCellMar>
      </w:tblPr>
      <w:tblGrid>
        <w:gridCol w:w="9308"/>
        <w:gridCol w:w="326"/>
        <w:gridCol w:w="571"/>
      </w:tblGrid>
      <w:tr>
        <w:trPr/>
        <w:tc>
          <w:tcPr>
            <w:tcW w:w="9308"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283"/>
              <w:ind w:left="0" w:right="0" w:hanging="0"/>
              <w:rPr>
                <w:sz w:val="4"/>
                <w:szCs w:val="4"/>
              </w:rPr>
            </w:pPr>
            <w:r>
              <w:rPr>
                <w:sz w:val="4"/>
                <w:szCs w:val="4"/>
              </w:rPr>
            </w:r>
          </w:p>
        </w:tc>
      </w:tr>
      <w:tr>
        <w:trPr/>
        <w:tc>
          <w:tcPr>
            <w:tcW w:w="9308"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Page</w:t>
            </w:r>
          </w:p>
        </w:tc>
      </w:tr>
      <w:tr>
        <w:trPr/>
        <w:tc>
          <w:tcPr>
            <w:tcW w:w="9308" w:type="dxa"/>
            <w:tcBorders/>
            <w:shd w:fill="auto" w:val="clear"/>
            <w:vAlign w:val="center"/>
          </w:tcPr>
          <w:p>
            <w:pPr>
              <w:pStyle w:val="TableContents"/>
              <w:pBdr/>
              <w:spacing w:before="7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Consolidated Financial Statements</w:t>
            </w:r>
          </w:p>
        </w:tc>
        <w:tc>
          <w:tcPr>
            <w:tcW w:w="326" w:type="dxa"/>
            <w:tcBorders/>
            <w:shd w:fill="auto" w:val="clear"/>
            <w:vAlign w:val="center"/>
          </w:tcPr>
          <w:p>
            <w:pPr>
              <w:pStyle w:val="TableContents"/>
              <w:spacing w:before="0" w:after="240"/>
              <w:ind w:left="0" w:right="0" w:hanging="0"/>
              <w:rPr>
                <w:color w:val="231F20"/>
              </w:rPr>
            </w:pPr>
            <w:r>
              <w:rPr>
                <w:color w:val="231F20"/>
              </w:rPr>
              <w:t>​</w:t>
            </w:r>
          </w:p>
        </w:tc>
        <w:tc>
          <w:tcPr>
            <w:tcW w:w="571" w:type="dxa"/>
            <w:tcBorders>
              <w:top w:val="single" w:sz="2" w:space="0" w:color="000000"/>
            </w:tcBorders>
            <w:shd w:fill="auto" w:val="clear"/>
            <w:tcMar>
              <w:top w:w="28" w:type="dxa"/>
            </w:tcMar>
            <w:vAlign w:val="center"/>
          </w:tcPr>
          <w:p>
            <w:pPr>
              <w:pStyle w:val="TableContents"/>
              <w:spacing w:before="0" w:after="240"/>
              <w:ind w:left="0" w:right="0" w:hanging="0"/>
              <w:jc w:val="center"/>
              <w:rPr>
                <w:color w:val="231F20"/>
              </w:rPr>
            </w:pPr>
            <w:r>
              <w:rPr>
                <w:color w:val="231F20"/>
              </w:rPr>
              <w:t>​</w:t>
            </w:r>
          </w:p>
        </w:tc>
      </w:tr>
      <w:tr>
        <w:trPr/>
        <w:tc>
          <w:tcPr>
            <w:tcW w:w="9308" w:type="dxa"/>
            <w:tcBorders/>
            <w:shd w:fill="auto" w:val="clear"/>
            <w:vAlign w:val="center"/>
          </w:tcPr>
          <w:p>
            <w:pPr>
              <w:pStyle w:val="TableContents"/>
              <w:pBdr/>
              <w:spacing w:before="7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(KPMG Huazhen LLP, Shanghai, China, Auditor Firm ID:1186)</w:t>
            </w:r>
          </w:p>
        </w:tc>
        <w:tc>
          <w:tcPr>
            <w:tcW w:w="326" w:type="dxa"/>
            <w:tcBorders/>
            <w:shd w:fill="auto" w:val="clear"/>
            <w:vAlign w:val="center"/>
          </w:tcPr>
          <w:p>
            <w:pPr>
              <w:pStyle w:val="TableContents"/>
              <w:spacing w:before="0" w:after="24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308" w:type="dxa"/>
            <w:tcBorders/>
            <w:shd w:fill="auto" w:val="clear"/>
            <w:vAlign w:val="center"/>
          </w:tcPr>
          <w:p>
            <w:pPr>
              <w:pStyle w:val="TableContents"/>
              <w:pBdr/>
              <w:spacing w:before="0" w:after="0"/>
              <w:ind w:left="0" w:right="0" w:hanging="0"/>
              <w:rPr/>
            </w:pPr>
            <w:hyperlink w:anchor="CONSOLIDATEDBALANCESHEETS_165748">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326" w:type="dxa"/>
            <w:tcBorders/>
            <w:shd w:fill="auto" w:val="clear"/>
            <w:vAlign w:val="center"/>
          </w:tcPr>
          <w:p>
            <w:pPr>
              <w:pStyle w:val="TableContents"/>
              <w:spacing w:before="0" w:after="240"/>
              <w:ind w:left="0" w:right="0" w:hanging="0"/>
              <w:rPr>
                <w:color w:val="231F20"/>
                <w:spacing w:val="-6"/>
              </w:rPr>
            </w:pPr>
            <w:r>
              <w:rPr>
                <w:color w:val="231F20"/>
                <w:spacing w:val="-6"/>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308" w:type="dxa"/>
            <w:tcBorders/>
            <w:shd w:fill="auto" w:val="clear"/>
            <w:vAlign w:val="center"/>
          </w:tcPr>
          <w:p>
            <w:pPr>
              <w:pStyle w:val="TableContents"/>
              <w:pBdr/>
              <w:spacing w:before="0" w:after="0"/>
              <w:ind w:left="0" w:right="0" w:hanging="0"/>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years ended December 31, 2020, 2021 and 2022</w:t>
              </w:r>
            </w:hyperlink>
          </w:p>
        </w:tc>
        <w:tc>
          <w:tcPr>
            <w:tcW w:w="326" w:type="dxa"/>
            <w:tcBorders/>
            <w:shd w:fill="auto" w:val="clear"/>
            <w:vAlign w:val="center"/>
          </w:tcPr>
          <w:p>
            <w:pPr>
              <w:pStyle w:val="TableContents"/>
              <w:spacing w:before="0" w:after="24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308" w:type="dxa"/>
            <w:tcBorders/>
            <w:shd w:fill="auto" w:val="clear"/>
            <w:vAlign w:val="center"/>
          </w:tcPr>
          <w:p>
            <w:pPr>
              <w:pStyle w:val="TableContents"/>
              <w:pBdr/>
              <w:spacing w:before="0" w:after="0"/>
              <w:ind w:left="0" w:right="0" w:hanging="0"/>
              <w:rPr/>
            </w:pPr>
            <w:hyperlink w:anchor="CONSOLIDATEDSTATEMENTSOFCHANGESINDEFICIT">
              <w:r>
                <w:rPr>
                  <w:rStyle w:val="InternetLink"/>
                  <w:rFonts w:ascii="Times New Roman;Times;serif" w:hAnsi="Times New Roman;Times;serif"/>
                  <w:b w:val="false"/>
                  <w:i w:val="false"/>
                  <w:caps w:val="false"/>
                  <w:smallCaps w:val="false"/>
                  <w:sz w:val="20"/>
                </w:rPr>
                <w:t>Consolidated Statements of Changes in (Deficit) Equity for the years ended December 31, 2020, 2021 and 2022</w:t>
              </w:r>
            </w:hyperlink>
          </w:p>
        </w:tc>
        <w:tc>
          <w:tcPr>
            <w:tcW w:w="326" w:type="dxa"/>
            <w:tcBorders/>
            <w:shd w:fill="auto" w:val="clear"/>
            <w:vAlign w:val="center"/>
          </w:tcPr>
          <w:p>
            <w:pPr>
              <w:pStyle w:val="TableContents"/>
              <w:spacing w:before="0" w:after="24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308" w:type="dxa"/>
            <w:tcBorders/>
            <w:shd w:fill="auto" w:val="clear"/>
            <w:vAlign w:val="center"/>
          </w:tcPr>
          <w:p>
            <w:pPr>
              <w:pStyle w:val="TableContents"/>
              <w:pBdr/>
              <w:spacing w:before="0" w:after="0"/>
              <w:ind w:left="0" w:right="0" w:hanging="0"/>
              <w:rPr/>
            </w:pPr>
            <w:hyperlink w:anchor="CONSOLIDATEDSTATEMENTSOFCASHFLOWS_157340">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326" w:type="dxa"/>
            <w:tcBorders/>
            <w:shd w:fill="auto" w:val="clear"/>
            <w:vAlign w:val="center"/>
          </w:tcPr>
          <w:p>
            <w:pPr>
              <w:pStyle w:val="TableContents"/>
              <w:spacing w:before="0" w:after="24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9308" w:type="dxa"/>
            <w:tcBorders/>
            <w:shd w:fill="auto" w:val="clear"/>
            <w:vAlign w:val="center"/>
          </w:tcPr>
          <w:p>
            <w:pPr>
              <w:pStyle w:val="TableContents"/>
              <w:pBdr/>
              <w:spacing w:before="0" w:after="0"/>
              <w:ind w:left="0" w:right="0" w:hanging="0"/>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326" w:type="dxa"/>
            <w:tcBorders/>
            <w:shd w:fill="auto" w:val="clear"/>
            <w:vAlign w:val="center"/>
          </w:tcPr>
          <w:p>
            <w:pPr>
              <w:pStyle w:val="TableContents"/>
              <w:spacing w:before="0" w:after="24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center"/>
        <w:rPr>
          <w:rFonts w:ascii="Times New Roman;Times;serif" w:hAnsi="Times New Roman;Times;serif"/>
          <w:b/>
          <w:i/>
          <w:sz w:val="20"/>
        </w:rPr>
      </w:pPr>
      <w:bookmarkStart w:id="86" w:name="ReportofIndependentRegisteredPublicAccou"/>
      <w:bookmarkStart w:id="87" w:name="_bc0751fa_f016_4db3_adda_3dee0877166a"/>
      <w:bookmarkEnd w:id="86"/>
      <w:bookmarkEnd w:id="87"/>
      <w:r>
        <w:rPr>
          <w:rFonts w:ascii="Times New Roman;Times;serif" w:hAnsi="Times New Roman;Times;serif"/>
          <w:b/>
          <w:i/>
          <w:sz w:val="20"/>
        </w:rPr>
        <w:t>Report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the Shareholders and Board of Directors</w:t>
        <w:br/>
        <w:t>Atour Lifestyle Holdings Limited: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Opinion on the Consolidated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audited the accompanying consolidated balance sheets of Atour Lifestyle Holdings Limited (the “Company”) and the subsidiaries (collectively the “Group”) as of December 31, 2021 and 2022, the related consolidated statements of comprehensive income, changes in (deficit)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Group as of December 31, 2021 and 2022, and the results of its operations and its cash flows for each of the years in the three-year period ended December 31, 2022, in conformity with U.S. generally accepted accounting principles.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Change in Accounting Principle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discussed in Note 2 to the consolidated financial statements, the Company has changed its method of accounting for leases as of January 1, 2022, due to the adoption of Accounting Standards Update No. 2016-02, </w:t>
      </w:r>
      <w:r>
        <w:rPr>
          <w:rFonts w:ascii="Times New Roman;Times;serif" w:hAnsi="Times New Roman;Times;serif"/>
          <w:i/>
          <w:sz w:val="20"/>
        </w:rPr>
        <w:t>Leases</w:t>
      </w:r>
      <w:r>
        <w:rPr>
          <w:rFonts w:ascii="Times New Roman;Times;serif" w:hAnsi="Times New Roman;Times;serif"/>
          <w:sz w:val="20"/>
        </w:rPr>
        <w:t xml:space="preserve"> (Topic 842), as amended.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Basis for Opinion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 KPMG Huazhen LLP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Shanghai, China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April 28,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Times New Roman;Times;serif" w:hAnsi="Times New Roman;Times;serif"/>
          <w:b/>
          <w:sz w:val="20"/>
        </w:rPr>
      </w:pPr>
      <w:bookmarkStart w:id="88" w:name="_da8a55fa_8bd5_4a7c_b273_88bf93f1ebbf"/>
      <w:bookmarkEnd w:id="88"/>
      <w:r>
        <w:rPr>
          <w:rFonts w:ascii="Times New Roman;Times;serif" w:hAnsi="Times New Roman;Times;serif"/>
          <w:b/>
          <w:sz w:val="20"/>
        </w:rPr>
        <w:t xml:space="preserve">ATOUR LIFESTYLE HOLDINGS LIMITED </w:t>
      </w:r>
    </w:p>
    <w:p>
      <w:pPr>
        <w:pStyle w:val="TextBody"/>
        <w:spacing w:before="0" w:after="120"/>
        <w:ind w:left="0" w:right="0" w:hanging="0"/>
        <w:jc w:val="center"/>
        <w:rPr>
          <w:rFonts w:ascii="Times New Roman;Times;serif" w:hAnsi="Times New Roman;Times;serif"/>
          <w:b/>
          <w:sz w:val="20"/>
        </w:rPr>
      </w:pPr>
      <w:bookmarkStart w:id="89" w:name="CONSOLIDATEDBALANCESHEETS_165748"/>
      <w:bookmarkEnd w:id="89"/>
      <w:r>
        <w:rPr>
          <w:rFonts w:ascii="Times New Roman;Times;serif" w:hAnsi="Times New Roman;Times;serif"/>
          <w:b/>
          <w:sz w:val="20"/>
        </w:rPr>
        <w:t>CONSOLIDATED BALANCE SHEETS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90" w:name="Tc_UHlDNyyGgEiWMK8iJWiFzg_24_0"/>
      <w:bookmarkStart w:id="91" w:name="Tc_hoj_7iHNe0CPUV68qjaWkQ_23_0"/>
      <w:bookmarkStart w:id="92" w:name="Tc_r3dGyV0HlEaFrwiCYltJ7g_22_2"/>
      <w:bookmarkStart w:id="93" w:name="Tc_BCsn3KiadE-sMNW6Xtc3cw_22_0"/>
      <w:bookmarkStart w:id="94" w:name="Tc_d_n3sIt-JkmlYhIALovGmA_21_2"/>
      <w:bookmarkStart w:id="95" w:name="Tc_sv_57gqYQUeOmcyxUjLzEg_21_0"/>
      <w:bookmarkStart w:id="96" w:name="Tc_5JIa7h6_VE2ZvY0TbRYAJw_20_2"/>
      <w:bookmarkStart w:id="97" w:name="Tc_-i_4WVOqy02WuXGEutqOBw_20_0"/>
      <w:bookmarkStart w:id="98" w:name="Tc_fBUp_sMP7k-skvrFIQQE8A_19_2"/>
      <w:bookmarkStart w:id="99" w:name="Tc_OdJpceVf2kikD-FOGcNWJw_19_0"/>
      <w:bookmarkStart w:id="100" w:name="Tc_nEnbd5NHvUqPq9RLhFmKjQ_18_4"/>
      <w:bookmarkStart w:id="101" w:name="Tc_qF-pu5C1ZkS7NP6MYXYFzQ_18_2"/>
      <w:bookmarkStart w:id="102" w:name="Tc_JuZw5P_L0EqLbQRJbIGFOA_18_0"/>
      <w:bookmarkStart w:id="103" w:name="Tc_mX7rRsg2BES95pZwr2FOLw_17_2"/>
      <w:bookmarkStart w:id="104" w:name="Tc_mJKWOp5Bc06mxgrfZrAm9w_17_0"/>
      <w:bookmarkStart w:id="105" w:name="Tc_gyoeHXLTWkSmfqn8uF1czw_16_2"/>
      <w:bookmarkStart w:id="106" w:name="Tc_G1P9MfTZwEKJnkqHGmry0w_16_0"/>
      <w:bookmarkStart w:id="107" w:name="Tc_3y3SQXXG_kOZI5u-GBg2lA_15_0"/>
      <w:bookmarkStart w:id="108" w:name="Tc_NCO0WhdWvUuHT4EnDnJlnQ_14_0"/>
      <w:bookmarkStart w:id="109" w:name="Tc_p7vqdu02UEGEdcqX_FUTFQ_13_0"/>
      <w:bookmarkStart w:id="110" w:name="Tc_agoDM2SBS0CQIGy3yCtkuw_12_0"/>
      <w:bookmarkStart w:id="111" w:name="Tc_uzUoHCKtiEO8FFs__LRA7g_11_2"/>
      <w:bookmarkStart w:id="112" w:name="Tc_O1_fiSJJTkGJLdfmpjKxGg_11_0"/>
      <w:bookmarkStart w:id="113" w:name="Tc_eOqFde3zYUGtjbB-5tYK4w_10_2"/>
      <w:bookmarkStart w:id="114" w:name="Tc_1Iapcg17Ek-O1HMIcwiZMw_10_0"/>
      <w:bookmarkStart w:id="115" w:name="Tc_ojB7cZMvmkuqAbI7TyvHbg_9_2"/>
      <w:bookmarkStart w:id="116" w:name="Tc_chQ2XUyGsEaGh2Q4yOpC5g_9_0"/>
      <w:bookmarkStart w:id="117" w:name="Tc_7ur7YsA_8k2y01I3GbbfyA_8_4"/>
      <w:bookmarkStart w:id="118" w:name="Tc_SRQLy4Nr90WNtPjo52f1fQ_8_0"/>
      <w:bookmarkStart w:id="119" w:name="Tc_-19AUkIyTUyiLzfNksTM_A_7_0"/>
      <w:bookmarkStart w:id="120" w:name="Tc_pSRalJfxlkaUAb1fmK0dWg_6_0"/>
      <w:bookmarkStart w:id="121" w:name="Tc_Wwi5uGZWO0O5JHp0O3Yy2g_5_0"/>
      <w:bookmarkStart w:id="122" w:name="Tc_U-bV9U77qEmHfAT9e95hBQ_4_8"/>
      <w:bookmarkStart w:id="123" w:name="Tc_ZUPUdLpQbUWY5mnQ8_LmdQ_3_8"/>
      <w:bookmarkStart w:id="124" w:name="Tc_Pi3xdsvlikG6ihViFMW9lw_3_6"/>
      <w:bookmarkStart w:id="125" w:name="Tc_jxSqAmmJikSygrxPOXSEyQ_3_4"/>
      <w:bookmarkStart w:id="126" w:name="Tc_PQUa4SnO_0GDgAGErDG-jw_2_8"/>
      <w:bookmarkStart w:id="127" w:name="Tc_3VOjIOqNNU6X7nFTtxQlbQ_2_6"/>
      <w:bookmarkStart w:id="128" w:name="Tc_0u1-91BhfUC3-Vn7hIiMFA_2_4"/>
      <w:bookmarkStart w:id="129" w:name="Tc_-n8RoY852ESx29MBOhKTIg_2_2"/>
      <w:bookmarkStart w:id="130" w:name="Tc_eesmIfdvxECqccYOBn4ljQ_1_4"/>
      <w:bookmarkStart w:id="131" w:name="_994accc5_54ae_428c_a385_3980f17341ab"/>
      <w:bookmarkStart w:id="132" w:name="Tc_UHlDNyyGgEiWMK8iJWiFzg_24_0"/>
      <w:bookmarkStart w:id="133" w:name="Tc_hoj_7iHNe0CPUV68qjaWkQ_23_0"/>
      <w:bookmarkStart w:id="134" w:name="Tc_r3dGyV0HlEaFrwiCYltJ7g_22_2"/>
      <w:bookmarkStart w:id="135" w:name="Tc_BCsn3KiadE-sMNW6Xtc3cw_22_0"/>
      <w:bookmarkStart w:id="136" w:name="Tc_d_n3sIt-JkmlYhIALovGmA_21_2"/>
      <w:bookmarkStart w:id="137" w:name="Tc_sv_57gqYQUeOmcyxUjLzEg_21_0"/>
      <w:bookmarkStart w:id="138" w:name="Tc_5JIa7h6_VE2ZvY0TbRYAJw_20_2"/>
      <w:bookmarkStart w:id="139" w:name="Tc_-i_4WVOqy02WuXGEutqOBw_20_0"/>
      <w:bookmarkStart w:id="140" w:name="Tc_fBUp_sMP7k-skvrFIQQE8A_19_2"/>
      <w:bookmarkStart w:id="141" w:name="Tc_OdJpceVf2kikD-FOGcNWJw_19_0"/>
      <w:bookmarkStart w:id="142" w:name="Tc_nEnbd5NHvUqPq9RLhFmKjQ_18_4"/>
      <w:bookmarkStart w:id="143" w:name="Tc_qF-pu5C1ZkS7NP6MYXYFzQ_18_2"/>
      <w:bookmarkStart w:id="144" w:name="Tc_JuZw5P_L0EqLbQRJbIGFOA_18_0"/>
      <w:bookmarkStart w:id="145" w:name="Tc_mX7rRsg2BES95pZwr2FOLw_17_2"/>
      <w:bookmarkStart w:id="146" w:name="Tc_mJKWOp5Bc06mxgrfZrAm9w_17_0"/>
      <w:bookmarkStart w:id="147" w:name="Tc_gyoeHXLTWkSmfqn8uF1czw_16_2"/>
      <w:bookmarkStart w:id="148" w:name="Tc_G1P9MfTZwEKJnkqHGmry0w_16_0"/>
      <w:bookmarkStart w:id="149" w:name="Tc_3y3SQXXG_kOZI5u-GBg2lA_15_0"/>
      <w:bookmarkStart w:id="150" w:name="Tc_NCO0WhdWvUuHT4EnDnJlnQ_14_0"/>
      <w:bookmarkStart w:id="151" w:name="Tc_p7vqdu02UEGEdcqX_FUTFQ_13_0"/>
      <w:bookmarkStart w:id="152" w:name="Tc_agoDM2SBS0CQIGy3yCtkuw_12_0"/>
      <w:bookmarkStart w:id="153" w:name="Tc_uzUoHCKtiEO8FFs__LRA7g_11_2"/>
      <w:bookmarkStart w:id="154" w:name="Tc_O1_fiSJJTkGJLdfmpjKxGg_11_0"/>
      <w:bookmarkStart w:id="155" w:name="Tc_eOqFde3zYUGtjbB-5tYK4w_10_2"/>
      <w:bookmarkStart w:id="156" w:name="Tc_1Iapcg17Ek-O1HMIcwiZMw_10_0"/>
      <w:bookmarkStart w:id="157" w:name="Tc_ojB7cZMvmkuqAbI7TyvHbg_9_2"/>
      <w:bookmarkStart w:id="158" w:name="Tc_chQ2XUyGsEaGh2Q4yOpC5g_9_0"/>
      <w:bookmarkStart w:id="159" w:name="Tc_7ur7YsA_8k2y01I3GbbfyA_8_4"/>
      <w:bookmarkStart w:id="160" w:name="Tc_SRQLy4Nr90WNtPjo52f1fQ_8_0"/>
      <w:bookmarkStart w:id="161" w:name="Tc_-19AUkIyTUyiLzfNksTM_A_7_0"/>
      <w:bookmarkStart w:id="162" w:name="Tc_pSRalJfxlkaUAb1fmK0dWg_6_0"/>
      <w:bookmarkStart w:id="163" w:name="Tc_Wwi5uGZWO0O5JHp0O3Yy2g_5_0"/>
      <w:bookmarkStart w:id="164" w:name="Tc_U-bV9U77qEmHfAT9e95hBQ_4_8"/>
      <w:bookmarkStart w:id="165" w:name="Tc_ZUPUdLpQbUWY5mnQ8_LmdQ_3_8"/>
      <w:bookmarkStart w:id="166" w:name="Tc_Pi3xdsvlikG6ihViFMW9lw_3_6"/>
      <w:bookmarkStart w:id="167" w:name="Tc_jxSqAmmJikSygrxPOXSEyQ_3_4"/>
      <w:bookmarkStart w:id="168" w:name="Tc_PQUa4SnO_0GDgAGErDG-jw_2_8"/>
      <w:bookmarkStart w:id="169" w:name="Tc_3VOjIOqNNU6X7nFTtxQlbQ_2_6"/>
      <w:bookmarkStart w:id="170" w:name="Tc_0u1-91BhfUC3-Vn7hIiMFA_2_4"/>
      <w:bookmarkStart w:id="171" w:name="Tc_-n8RoY852ESx29MBOhKTIg_2_2"/>
      <w:bookmarkStart w:id="172" w:name="Tc_eesmIfdvxECqccYOBn4ljQ_1_4"/>
      <w:bookmarkStart w:id="173" w:name="_994accc5_54ae_428c_a385_3980f17341ab"/>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tbl>
      <w:tblPr>
        <w:tblW w:w="10205" w:type="dxa"/>
        <w:jc w:val="left"/>
        <w:tblInd w:w="0" w:type="dxa"/>
        <w:tblCellMar>
          <w:top w:w="0" w:type="dxa"/>
          <w:left w:w="0" w:type="dxa"/>
          <w:bottom w:w="0" w:type="dxa"/>
          <w:right w:w="0" w:type="dxa"/>
        </w:tblCellMar>
      </w:tblPr>
      <w:tblGrid>
        <w:gridCol w:w="5655"/>
        <w:gridCol w:w="326"/>
        <w:gridCol w:w="497"/>
        <w:gridCol w:w="326"/>
        <w:gridCol w:w="931"/>
        <w:gridCol w:w="326"/>
        <w:gridCol w:w="931"/>
        <w:gridCol w:w="326"/>
        <w:gridCol w:w="887"/>
      </w:tblGrid>
      <w:tr>
        <w:trPr/>
        <w:tc>
          <w:tcPr>
            <w:tcW w:w="56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590925" cy="175260"/>
                      <wp:effectExtent l="0" t="0" r="0" b="0"/>
                      <wp:wrapNone/>
                      <wp:docPr id="258" name="Frame250"/>
                      <a:graphic xmlns:a="http://schemas.openxmlformats.org/drawingml/2006/main">
                        <a:graphicData uri="http://schemas.microsoft.com/office/word/2010/wordprocessingShape">
                          <wps:wsp>
                            <wps:cNvSpPr txBox="1"/>
                            <wps:spPr>
                              <a:xfrm>
                                <a:off x="0" y="0"/>
                                <a:ext cx="3590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15595" cy="175260"/>
                      <wp:effectExtent l="0" t="0" r="0" b="0"/>
                      <wp:wrapNone/>
                      <wp:docPr id="260" name="Frame252"/>
                      <a:graphic xmlns:a="http://schemas.openxmlformats.org/drawingml/2006/main">
                        <a:graphicData uri="http://schemas.microsoft.com/office/word/2010/wordprocessingShape">
                          <wps:wsp>
                            <wps:cNvSpPr txBox="1"/>
                            <wps:spPr>
                              <a:xfrm>
                                <a:off x="0" y="0"/>
                                <a:ext cx="31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91185" cy="175260"/>
                      <wp:effectExtent l="0" t="0" r="0" b="0"/>
                      <wp:wrapNone/>
                      <wp:docPr id="262" name="Frame2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91185" cy="175260"/>
                      <wp:effectExtent l="0" t="0" r="0" b="0"/>
                      <wp:wrapNone/>
                      <wp:docPr id="264" name="Frame25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63245" cy="175260"/>
                      <wp:effectExtent l="0" t="0" r="0" b="0"/>
                      <wp:wrapNone/>
                      <wp:docPr id="266" name="Frame258"/>
                      <a:graphic xmlns:a="http://schemas.openxmlformats.org/drawingml/2006/main">
                        <a:graphicData uri="http://schemas.microsoft.com/office/word/2010/wordprocessingShape">
                          <wps:wsp>
                            <wps:cNvSpPr txBox="1"/>
                            <wps:spPr>
                              <a:xfrm>
                                <a:off x="0" y="0"/>
                                <a:ext cx="563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40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6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4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Note</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56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pPr>
            <w:r>
              <w:rPr/>
              <w:t>    </w:t>
            </w:r>
          </w:p>
        </w:tc>
        <w:tc>
          <w:tcPr>
            <w:tcW w:w="887"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color w:val="231F20"/>
                <w:sz w:val="16"/>
              </w:rPr>
              <w:t>USD'000</w:t>
            </w:r>
            <w:r>
              <w:rPr>
                <w:rFonts w:ascii="Times New Roman;Times;serif" w:hAnsi="Times New Roman;Times;serif"/>
                <w:sz w:val="16"/>
              </w:rPr>
              <w:t>  </w:t>
            </w:r>
          </w:p>
        </w:tc>
      </w:tr>
      <w:tr>
        <w:trPr/>
        <w:tc>
          <w:tcPr>
            <w:tcW w:w="565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Note 2(d)</w:t>
            </w:r>
          </w:p>
        </w:tc>
      </w:tr>
      <w:tr>
        <w:trPr/>
        <w:tc>
          <w:tcPr>
            <w:tcW w:w="5655"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Assets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97"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887"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Current assets</w:t>
            </w:r>
          </w:p>
        </w:tc>
        <w:tc>
          <w:tcPr>
            <w:tcW w:w="326" w:type="dxa"/>
            <w:tcBorders/>
            <w:shd w:fill="auto" w:val="clear"/>
            <w:vAlign w:val="center"/>
          </w:tcPr>
          <w:p>
            <w:pPr>
              <w:pStyle w:val="TableContents"/>
              <w:spacing w:before="0" w:after="1"/>
              <w:ind w:left="0" w:right="0" w:hanging="0"/>
              <w:rPr/>
            </w:pPr>
            <w:r>
              <w:rPr/>
              <w:t> </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pPr>
            <w:r>
              <w:rPr/>
              <w:t>​</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Cash and cash equivalents</w:t>
            </w:r>
          </w:p>
        </w:tc>
        <w:tc>
          <w:tcPr>
            <w:tcW w:w="326" w:type="dxa"/>
            <w:tcBorders/>
            <w:shd w:fill="CCEEFF" w:val="clear"/>
            <w:vAlign w:val="center"/>
          </w:tcPr>
          <w:p>
            <w:pPr>
              <w:pStyle w:val="TableContents"/>
              <w:spacing w:before="0" w:after="1"/>
              <w:ind w:left="0" w:right="0" w:hanging="0"/>
              <w:rPr/>
            </w:pPr>
            <w:r>
              <w:rPr/>
              <w:t> </w:t>
            </w:r>
          </w:p>
        </w:tc>
        <w:tc>
          <w:tcPr>
            <w:tcW w:w="497"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1,038,583</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1,589,161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230,407</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Short-term investments</w:t>
            </w:r>
          </w:p>
        </w:tc>
        <w:tc>
          <w:tcPr>
            <w:tcW w:w="326" w:type="dxa"/>
            <w:tcBorders/>
            <w:shd w:fill="auto" w:val="clear"/>
            <w:vAlign w:val="center"/>
          </w:tcPr>
          <w:p>
            <w:pPr>
              <w:pStyle w:val="TableContents"/>
              <w:spacing w:before="0" w:after="1"/>
              <w:ind w:left="0" w:right="0" w:hanging="0"/>
              <w:rPr/>
            </w:pPr>
            <w:r>
              <w:rPr/>
              <w:t>​</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157,808</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22,880</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Accounts receivable, net of allowance of RMB14,731 and RMB19,468 as of December 31, 2021 and 2022, respectively</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97" w:type="dxa"/>
            <w:tcBorders/>
            <w:shd w:fill="CCEEFF"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13(b)</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99,961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132,699</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19,239</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Prepayments and other current assets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497"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3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167,161</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133,901</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19,414</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Amounts due from related parties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97" w:type="dxa"/>
            <w:tcBorders/>
            <w:shd w:fill="CCEEFF"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17(b)</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51,937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53,630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7,776</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Inventories</w:t>
            </w:r>
          </w:p>
        </w:tc>
        <w:tc>
          <w:tcPr>
            <w:tcW w:w="326" w:type="dxa"/>
            <w:tcBorders/>
            <w:shd w:fill="auto" w:val="clear"/>
            <w:vAlign w:val="center"/>
          </w:tcPr>
          <w:p>
            <w:pPr>
              <w:pStyle w:val="TableContents"/>
              <w:spacing w:before="0" w:after="1"/>
              <w:ind w:left="0" w:right="0" w:hanging="0"/>
              <w:rPr/>
            </w:pPr>
            <w:r>
              <w:rPr/>
              <w:t> </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58,575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57,460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8,331</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Total current assets</w:t>
            </w:r>
          </w:p>
        </w:tc>
        <w:tc>
          <w:tcPr>
            <w:tcW w:w="326" w:type="dxa"/>
            <w:tcBorders/>
            <w:shd w:fill="CCEEFF" w:val="clear"/>
            <w:vAlign w:val="center"/>
          </w:tcPr>
          <w:p>
            <w:pPr>
              <w:pStyle w:val="TableContents"/>
              <w:spacing w:before="0" w:after="1"/>
              <w:ind w:left="0" w:right="0" w:hanging="0"/>
              <w:rPr/>
            </w:pPr>
            <w:r>
              <w:rPr/>
              <w:t> </w:t>
            </w:r>
          </w:p>
        </w:tc>
        <w:tc>
          <w:tcPr>
            <w:tcW w:w="497"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1,416,217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2,124,659</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308,047</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Non-current assets</w:t>
            </w:r>
          </w:p>
        </w:tc>
        <w:tc>
          <w:tcPr>
            <w:tcW w:w="326" w:type="dxa"/>
            <w:tcBorders/>
            <w:shd w:fill="auto" w:val="clear"/>
            <w:vAlign w:val="center"/>
          </w:tcPr>
          <w:p>
            <w:pPr>
              <w:pStyle w:val="TableContents"/>
              <w:spacing w:before="0" w:after="1"/>
              <w:ind w:left="0" w:right="0" w:hanging="0"/>
              <w:rPr/>
            </w:pPr>
            <w:r>
              <w:rPr/>
              <w:t> </w:t>
            </w:r>
          </w:p>
        </w:tc>
        <w:tc>
          <w:tcPr>
            <w:tcW w:w="4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7" w:type="dxa"/>
            <w:tcBorders/>
            <w:shd w:fill="auto" w:val="clear"/>
            <w:vAlign w:val="center"/>
          </w:tcPr>
          <w:p>
            <w:pPr>
              <w:pStyle w:val="TableContents"/>
              <w:spacing w:before="0" w:after="1"/>
              <w:ind w:left="0" w:right="0" w:hanging="0"/>
              <w:jc w:val="right"/>
              <w:rPr/>
            </w:pPr>
            <w:r>
              <w:rPr/>
              <w:t>​</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Restricted cash</w:t>
            </w:r>
          </w:p>
        </w:tc>
        <w:tc>
          <w:tcPr>
            <w:tcW w:w="326" w:type="dxa"/>
            <w:tcBorders/>
            <w:shd w:fill="CCEEFF" w:val="clear"/>
            <w:vAlign w:val="center"/>
          </w:tcPr>
          <w:p>
            <w:pPr>
              <w:pStyle w:val="TableContents"/>
              <w:spacing w:before="0" w:after="1"/>
              <w:ind w:left="0" w:right="0" w:hanging="0"/>
              <w:rPr/>
            </w:pPr>
            <w:r>
              <w:rPr/>
              <w:t> </w:t>
            </w:r>
          </w:p>
        </w:tc>
        <w:tc>
          <w:tcPr>
            <w:tcW w:w="497"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946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946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137</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Contract costs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497"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2(j)</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62,415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67,270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9,753</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Property and equipment, net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97" w:type="dxa"/>
            <w:tcBorders/>
            <w:shd w:fill="CCEEFF"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4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439,015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360,300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52,239</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Operating lease right-of-use assets</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497"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6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1,932,000</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280,114</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Intangible assets, net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97" w:type="dxa"/>
            <w:tcBorders/>
            <w:shd w:fill="CCEEFF"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5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3,820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5,537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803</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Goodwill</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497"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7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17,446</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17,446</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7"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2,529</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Other assets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97" w:type="dxa"/>
            <w:tcBorders/>
            <w:shd w:fill="CCEEFF"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3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182,581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141,335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20,492</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color w:val="231F20"/>
                <w:sz w:val="20"/>
              </w:rPr>
            </w:pPr>
            <w:r>
              <w:rPr>
                <w:rFonts w:ascii="Times New Roman;Times;serif" w:hAnsi="Times New Roman;Times;serif"/>
                <w:color w:val="231F20"/>
                <w:sz w:val="20"/>
              </w:rPr>
              <w:t>Deferred tax assets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497"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 xml:space="preserve">8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122,707</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112,533</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16,315</w:t>
            </w:r>
          </w:p>
        </w:tc>
      </w:tr>
      <w:tr>
        <w:trPr/>
        <w:tc>
          <w:tcPr>
            <w:tcW w:w="5655" w:type="dxa"/>
            <w:tcBorders/>
            <w:shd w:fill="CCEEFF" w:val="clear"/>
            <w:vAlign w:val="center"/>
          </w:tcPr>
          <w:p>
            <w:pPr>
              <w:pStyle w:val="TableContents"/>
              <w:pBdr/>
              <w:spacing w:before="0" w:after="1"/>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Total non-current assets</w:t>
            </w:r>
          </w:p>
        </w:tc>
        <w:tc>
          <w:tcPr>
            <w:tcW w:w="326" w:type="dxa"/>
            <w:tcBorders/>
            <w:shd w:fill="CCEEFF" w:val="clear"/>
            <w:vAlign w:val="center"/>
          </w:tcPr>
          <w:p>
            <w:pPr>
              <w:pStyle w:val="TableContents"/>
              <w:spacing w:before="0" w:after="1"/>
              <w:ind w:left="0" w:right="0" w:hanging="0"/>
              <w:rPr/>
            </w:pPr>
            <w:r>
              <w:rPr/>
              <w:t> </w:t>
            </w:r>
          </w:p>
        </w:tc>
        <w:tc>
          <w:tcPr>
            <w:tcW w:w="497"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828,930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2,637,367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382,382</w:t>
            </w:r>
          </w:p>
        </w:tc>
      </w:tr>
      <w:tr>
        <w:trPr/>
        <w:tc>
          <w:tcPr>
            <w:tcW w:w="5655" w:type="dxa"/>
            <w:tcBorders/>
            <w:shd w:fill="auto" w:val="clear"/>
            <w:vAlign w:val="center"/>
          </w:tcPr>
          <w:p>
            <w:pPr>
              <w:pStyle w:val="TableContents"/>
              <w:pBdr/>
              <w:spacing w:before="0" w:after="1"/>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Total assets</w:t>
            </w:r>
          </w:p>
        </w:tc>
        <w:tc>
          <w:tcPr>
            <w:tcW w:w="326" w:type="dxa"/>
            <w:tcBorders/>
            <w:shd w:fill="auto" w:val="clear"/>
            <w:vAlign w:val="center"/>
          </w:tcPr>
          <w:p>
            <w:pPr>
              <w:pStyle w:val="TableContents"/>
              <w:spacing w:before="0" w:after="1"/>
              <w:ind w:left="0" w:right="0" w:hanging="0"/>
              <w:rPr/>
            </w:pPr>
            <w:r>
              <w:rPr/>
              <w:t> </w:t>
            </w:r>
          </w:p>
        </w:tc>
        <w:tc>
          <w:tcPr>
            <w:tcW w:w="497"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2,245,147</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4,762,026</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7"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690,429</w:t>
            </w:r>
          </w:p>
        </w:tc>
      </w:tr>
    </w:tbl>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 xml:space="preserve">ATOUR LIFESTYLE HOLDINGS LIMITED </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174" w:name="Tc_FUvq5L4UfEmNwa9ZzwuTRA_22_0"/>
      <w:bookmarkStart w:id="175" w:name="Tc_cyl8gglCYEasmM6RPakJsA_21_0"/>
      <w:bookmarkStart w:id="176" w:name="Tc_PvabZV0TRU2--fnCOj48Pw_20_2"/>
      <w:bookmarkStart w:id="177" w:name="Tc_EmVTRRNDMkiSt6eGp2hT0w_20_0"/>
      <w:bookmarkStart w:id="178" w:name="Tc_c4biWWK2YkW0ePPEdq7GvQ_19_2"/>
      <w:bookmarkStart w:id="179" w:name="Tc_KC7jHqMpKkOdUWxKNl5vfA_19_0"/>
      <w:bookmarkStart w:id="180" w:name="Tc_0LzmD1cAL0i9hyyqGxQe8w_18_2"/>
      <w:bookmarkStart w:id="181" w:name="Tc_LmRUg6Pifk6x6_R8E2j3lw_18_0"/>
      <w:bookmarkStart w:id="182" w:name="Tc_WUx7oY5cP0iY1b-NUEHqog_17_4"/>
      <w:bookmarkStart w:id="183" w:name="Tc_b34QKWqPfkSBc3I_HFRxTg_17_2"/>
      <w:bookmarkStart w:id="184" w:name="Tc_ej14uLbeP0OtevbhnAzHDQ_17_0"/>
      <w:bookmarkStart w:id="185" w:name="Tc_MVSe6df5WkaTLTTC2t70Zw_16_0"/>
      <w:bookmarkStart w:id="186" w:name="Tc_I3gGrpvkUEqOqi75iVu6PQ_15_0"/>
      <w:bookmarkStart w:id="187" w:name="Tc_HF2GCiEShkGsVdvMOrQH7w_14_2"/>
      <w:bookmarkStart w:id="188" w:name="Tc_qLxUe6eN5kSiND9m5-an_g_14_0"/>
      <w:bookmarkStart w:id="189" w:name="Tc_-GQ0SxALVkaVBAKy3j1Zng_13_2"/>
      <w:bookmarkStart w:id="190" w:name="Tc_1T55KzqCTUypozhBXKSCfA_13_0"/>
      <w:bookmarkStart w:id="191" w:name="Tc_K9wwY-_abkCrCYcwgQTFcA_12_2"/>
      <w:bookmarkStart w:id="192" w:name="Tc_fBTYoNGkPU-FPWD5sK2Ajg_12_0"/>
      <w:bookmarkStart w:id="193" w:name="Tc_DUJY8DhP-Ey1KnUTYpOEQQ_11_0"/>
      <w:bookmarkStart w:id="194" w:name="Tc_9HAbkInS60ykI6jK4RUzRg_10_2"/>
      <w:bookmarkStart w:id="195" w:name="Tc_kkM6tVhY40ydG6SH2iySag_10_0"/>
      <w:bookmarkStart w:id="196" w:name="Tc_-AmWA4-RI02CJDIJqo3L9A_9_0"/>
      <w:bookmarkStart w:id="197" w:name="Tc_fL5gPQO4DEKvpTAA3XasAQ_8_2"/>
      <w:bookmarkStart w:id="198" w:name="Tc_-8R7SC2ul0GQ6XAX2Fc4ww_8_0"/>
      <w:bookmarkStart w:id="199" w:name="Tc_iDhPMvc8lkqB1XA19O8Mvw_7_0"/>
      <w:bookmarkStart w:id="200" w:name="Tc_vB9Kse3QA0mlskvFMGiaGg_6_4"/>
      <w:bookmarkStart w:id="201" w:name="Tc_naLim2z3cEWXb7MS11KMeQ_6_2"/>
      <w:bookmarkStart w:id="202" w:name="Tc_RsvW5zEvfEOCWJVCqJSyEw_6_0"/>
      <w:bookmarkStart w:id="203" w:name="Tc_pKN5emPPRk6cn7jThf4DPg_5_0"/>
      <w:bookmarkStart w:id="204" w:name="Tc_taQwJpl7mUWBiCZjqFsPIA_4_8"/>
      <w:bookmarkStart w:id="205" w:name="Tc_mBMA5HBn-EuRT1Of_q1Tyw_3_8"/>
      <w:bookmarkStart w:id="206" w:name="Tc_hDaJjMlnxkSqdkqSjLLJAA_3_6"/>
      <w:bookmarkStart w:id="207" w:name="Tc_nnncP__T2EeVvyR4mgzSVg_3_4"/>
      <w:bookmarkStart w:id="208" w:name="Tc_jrjBLjj8D0WNXu7QG_mXTg_2_8"/>
      <w:bookmarkStart w:id="209" w:name="Tc_USmVionqnkaVqPRsmTlkIQ_2_6"/>
      <w:bookmarkStart w:id="210" w:name="Tc_A0Kmd4XHbU-O51SvrRVh7w_2_4"/>
      <w:bookmarkStart w:id="211" w:name="Tc_tc-sQLQlWUWAchZEvZnsLw_2_2"/>
      <w:bookmarkStart w:id="212" w:name="Tc_LvnzVaXziEm8I3ao5024rw_1_4"/>
      <w:bookmarkStart w:id="213" w:name="_1658393c_5fe5_40a2_981b_c14094f6ad4e"/>
      <w:bookmarkStart w:id="214" w:name="Tc_FUvq5L4UfEmNwa9ZzwuTRA_22_0"/>
      <w:bookmarkStart w:id="215" w:name="Tc_cyl8gglCYEasmM6RPakJsA_21_0"/>
      <w:bookmarkStart w:id="216" w:name="Tc_PvabZV0TRU2--fnCOj48Pw_20_2"/>
      <w:bookmarkStart w:id="217" w:name="Tc_EmVTRRNDMkiSt6eGp2hT0w_20_0"/>
      <w:bookmarkStart w:id="218" w:name="Tc_c4biWWK2YkW0ePPEdq7GvQ_19_2"/>
      <w:bookmarkStart w:id="219" w:name="Tc_KC7jHqMpKkOdUWxKNl5vfA_19_0"/>
      <w:bookmarkStart w:id="220" w:name="Tc_0LzmD1cAL0i9hyyqGxQe8w_18_2"/>
      <w:bookmarkStart w:id="221" w:name="Tc_LmRUg6Pifk6x6_R8E2j3lw_18_0"/>
      <w:bookmarkStart w:id="222" w:name="Tc_WUx7oY5cP0iY1b-NUEHqog_17_4"/>
      <w:bookmarkStart w:id="223" w:name="Tc_b34QKWqPfkSBc3I_HFRxTg_17_2"/>
      <w:bookmarkStart w:id="224" w:name="Tc_ej14uLbeP0OtevbhnAzHDQ_17_0"/>
      <w:bookmarkStart w:id="225" w:name="Tc_MVSe6df5WkaTLTTC2t70Zw_16_0"/>
      <w:bookmarkStart w:id="226" w:name="Tc_I3gGrpvkUEqOqi75iVu6PQ_15_0"/>
      <w:bookmarkStart w:id="227" w:name="Tc_HF2GCiEShkGsVdvMOrQH7w_14_2"/>
      <w:bookmarkStart w:id="228" w:name="Tc_qLxUe6eN5kSiND9m5-an_g_14_0"/>
      <w:bookmarkStart w:id="229" w:name="Tc_-GQ0SxALVkaVBAKy3j1Zng_13_2"/>
      <w:bookmarkStart w:id="230" w:name="Tc_1T55KzqCTUypozhBXKSCfA_13_0"/>
      <w:bookmarkStart w:id="231" w:name="Tc_K9wwY-_abkCrCYcwgQTFcA_12_2"/>
      <w:bookmarkStart w:id="232" w:name="Tc_fBTYoNGkPU-FPWD5sK2Ajg_12_0"/>
      <w:bookmarkStart w:id="233" w:name="Tc_DUJY8DhP-Ey1KnUTYpOEQQ_11_0"/>
      <w:bookmarkStart w:id="234" w:name="Tc_9HAbkInS60ykI6jK4RUzRg_10_2"/>
      <w:bookmarkStart w:id="235" w:name="Tc_kkM6tVhY40ydG6SH2iySag_10_0"/>
      <w:bookmarkStart w:id="236" w:name="Tc_-AmWA4-RI02CJDIJqo3L9A_9_0"/>
      <w:bookmarkStart w:id="237" w:name="Tc_fL5gPQO4DEKvpTAA3XasAQ_8_2"/>
      <w:bookmarkStart w:id="238" w:name="Tc_-8R7SC2ul0GQ6XAX2Fc4ww_8_0"/>
      <w:bookmarkStart w:id="239" w:name="Tc_iDhPMvc8lkqB1XA19O8Mvw_7_0"/>
      <w:bookmarkStart w:id="240" w:name="Tc_vB9Kse3QA0mlskvFMGiaGg_6_4"/>
      <w:bookmarkStart w:id="241" w:name="Tc_naLim2z3cEWXb7MS11KMeQ_6_2"/>
      <w:bookmarkStart w:id="242" w:name="Tc_RsvW5zEvfEOCWJVCqJSyEw_6_0"/>
      <w:bookmarkStart w:id="243" w:name="Tc_pKN5emPPRk6cn7jThf4DPg_5_0"/>
      <w:bookmarkStart w:id="244" w:name="Tc_taQwJpl7mUWBiCZjqFsPIA_4_8"/>
      <w:bookmarkStart w:id="245" w:name="Tc_mBMA5HBn-EuRT1Of_q1Tyw_3_8"/>
      <w:bookmarkStart w:id="246" w:name="Tc_hDaJjMlnxkSqdkqSjLLJAA_3_6"/>
      <w:bookmarkStart w:id="247" w:name="Tc_nnncP__T2EeVvyR4mgzSVg_3_4"/>
      <w:bookmarkStart w:id="248" w:name="Tc_jrjBLjj8D0WNXu7QG_mXTg_2_8"/>
      <w:bookmarkStart w:id="249" w:name="Tc_USmVionqnkaVqPRsmTlkIQ_2_6"/>
      <w:bookmarkStart w:id="250" w:name="Tc_A0Kmd4XHbU-O51SvrRVh7w_2_4"/>
      <w:bookmarkStart w:id="251" w:name="Tc_tc-sQLQlWUWAchZEvZnsLw_2_2"/>
      <w:bookmarkStart w:id="252" w:name="Tc_LvnzVaXziEm8I3ao5024rw_1_4"/>
      <w:bookmarkStart w:id="253" w:name="_1658393c_5fe5_40a2_981b_c14094f6ad4e"/>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8209" w:type="dxa"/>
        <w:jc w:val="left"/>
        <w:tblInd w:w="0" w:type="dxa"/>
        <w:tblCellMar>
          <w:top w:w="0" w:type="dxa"/>
          <w:left w:w="0" w:type="dxa"/>
          <w:bottom w:w="0" w:type="dxa"/>
          <w:right w:w="0" w:type="dxa"/>
        </w:tblCellMar>
      </w:tblPr>
      <w:tblGrid>
        <w:gridCol w:w="3616"/>
        <w:gridCol w:w="326"/>
        <w:gridCol w:w="541"/>
        <w:gridCol w:w="326"/>
        <w:gridCol w:w="931"/>
        <w:gridCol w:w="326"/>
        <w:gridCol w:w="931"/>
        <w:gridCol w:w="326"/>
        <w:gridCol w:w="886"/>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96160" cy="175260"/>
                      <wp:effectExtent l="0" t="0" r="0" b="0"/>
                      <wp:wrapNone/>
                      <wp:docPr id="267" name="Frame259"/>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43535" cy="175260"/>
                      <wp:effectExtent l="0" t="0" r="0" b="0"/>
                      <wp:wrapNone/>
                      <wp:docPr id="269" name="Frame261"/>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6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91185" cy="175260"/>
                      <wp:effectExtent l="0" t="0" r="0" b="0"/>
                      <wp:wrapNone/>
                      <wp:docPr id="273" name="Frame26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62610" cy="175260"/>
                      <wp:effectExtent l="0" t="0" r="0" b="0"/>
                      <wp:wrapNone/>
                      <wp:docPr id="275" name="Frame26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USD’000</w:t>
            </w:r>
          </w:p>
        </w:tc>
      </w:tr>
      <w:tr>
        <w:trPr/>
        <w:tc>
          <w:tcPr>
            <w:tcW w:w="36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2(d)</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319,598</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46,337</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161,277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184,901</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233,735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202,996</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29,432</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Salary and welfare payable</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95,238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103,539</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15,012</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payables</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9 </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447,380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330,282</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47,886</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 payable</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46,176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31,336</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4,543</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borrowings</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10 </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64,808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142,828</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20,708</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10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29,130</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17(b)</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1,051,386</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1,347,614</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195,385</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1,805,402</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261,759</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267,909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277,841</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40,283</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borrowings, non-current portion</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10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43,630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11 </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317,607</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141,763</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20,554</w:t>
            </w:r>
          </w:p>
        </w:tc>
      </w:tr>
      <w:tr>
        <w:trPr/>
        <w:tc>
          <w:tcPr>
            <w:tcW w:w="36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629,146</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2,227,006</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322,886</w:t>
            </w:r>
          </w:p>
        </w:tc>
      </w:tr>
      <w:tr>
        <w:trPr/>
        <w:tc>
          <w:tcPr>
            <w:tcW w:w="36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1,680,532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3,574,620</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518,271</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 xml:space="preserve">ATOUR LIFESTYLE HOLDINGS LIMITED </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254" w:name="Tc_UiO5xkUzHU2BtFEdFnvYSw_15_0"/>
      <w:bookmarkStart w:id="255" w:name="Tc_LRh1Sy36JU6kZXcNqSH07A_14_2"/>
      <w:bookmarkStart w:id="256" w:name="Tc_Aw2AcINQ2UWen33PZCdQyQ_14_0"/>
      <w:bookmarkStart w:id="257" w:name="Tc_vvsQzWRWOkaExnpUSqLp6w_13_0"/>
      <w:bookmarkStart w:id="258" w:name="Tc_OltWyMjTA0qHFXDtFhmklw_12_0"/>
      <w:bookmarkStart w:id="259" w:name="Tc_jfudYYU-tUSJNcrVYlwb5A_11_0"/>
      <w:bookmarkStart w:id="260" w:name="Tc_iHgPnsQ7OUesoEKNg6_9Bg_10_0"/>
      <w:bookmarkStart w:id="261" w:name="Tc_Ono13NoKBESLjRMd1k8SUw_9_0"/>
      <w:bookmarkStart w:id="262" w:name="Tc_T3HNvGYpmkayg6FQRn-UkA_8_0"/>
      <w:bookmarkStart w:id="263" w:name="Tc_t2Wn2rN1jkqMC6ezvEqN9A_7_2"/>
      <w:bookmarkStart w:id="264" w:name="_5b334c81_ad7b_43e7_a743_bda401665c27_3"/>
      <w:bookmarkStart w:id="265" w:name="_5b334c81_ad7b_43e7_a743_bda401665c27_2"/>
      <w:bookmarkStart w:id="266" w:name="_5b334c81_ad7b_43e7_a743_bda401665c27"/>
      <w:bookmarkStart w:id="267" w:name="Tc_aQne7bD5U0SHoPjbdQgkIQ_7_0"/>
      <w:bookmarkStart w:id="268" w:name="Tc_HXN-dL-5o0mT6LtGU0MjGQ_6_2"/>
      <w:bookmarkStart w:id="269" w:name="Tc_t7EaKcIxlUasamIYCbfvHQ_6_0"/>
      <w:bookmarkStart w:id="270" w:name="Tc_NI5hL1JBeUqTQkhuLiqeKQ_5_0"/>
      <w:bookmarkStart w:id="271" w:name="Tc_G-HLPayBKU-77IAQ70nRGQ_4_8"/>
      <w:bookmarkStart w:id="272" w:name="Tc_nHmW1viCnUSA25AZr1DWJw_3_8"/>
      <w:bookmarkStart w:id="273" w:name="Tc_6XzTWbfDqU2642ohTUAxqQ_3_6"/>
      <w:bookmarkStart w:id="274" w:name="Tc_1M-imZ6zYEmYvmne52IZgw_3_4"/>
      <w:bookmarkStart w:id="275" w:name="Tc_AfFAkig_ZUOvns9w8n3wtw_2_8"/>
      <w:bookmarkStart w:id="276" w:name="Tc_bo6Pkd0D9ECpdgcvkGxJyQ_2_6"/>
      <w:bookmarkStart w:id="277" w:name="Tc_oq3Zlzd6ZU2QMuOKCM1zoQ_2_4"/>
      <w:bookmarkStart w:id="278" w:name="Tc_WMPrWrrNGkiPkIV-BFSQrQ_2_2"/>
      <w:bookmarkStart w:id="279" w:name="Tc_KJ5cBjXLAk-L8VArEulHGQ_1_4"/>
      <w:bookmarkStart w:id="280" w:name="_8d0f2e91_9fbd_49cf_b57c_0eca3cd98152"/>
      <w:bookmarkStart w:id="281" w:name="Tc_UiO5xkUzHU2BtFEdFnvYSw_15_0"/>
      <w:bookmarkStart w:id="282" w:name="Tc_LRh1Sy36JU6kZXcNqSH07A_14_2"/>
      <w:bookmarkStart w:id="283" w:name="Tc_Aw2AcINQ2UWen33PZCdQyQ_14_0"/>
      <w:bookmarkStart w:id="284" w:name="Tc_vvsQzWRWOkaExnpUSqLp6w_13_0"/>
      <w:bookmarkStart w:id="285" w:name="Tc_OltWyMjTA0qHFXDtFhmklw_12_0"/>
      <w:bookmarkStart w:id="286" w:name="Tc_jfudYYU-tUSJNcrVYlwb5A_11_0"/>
      <w:bookmarkStart w:id="287" w:name="Tc_iHgPnsQ7OUesoEKNg6_9Bg_10_0"/>
      <w:bookmarkStart w:id="288" w:name="Tc_Ono13NoKBESLjRMd1k8SUw_9_0"/>
      <w:bookmarkStart w:id="289" w:name="Tc_T3HNvGYpmkayg6FQRn-UkA_8_0"/>
      <w:bookmarkStart w:id="290" w:name="Tc_t2Wn2rN1jkqMC6ezvEqN9A_7_2"/>
      <w:bookmarkStart w:id="291" w:name="_5b334c81_ad7b_43e7_a743_bda401665c27_3"/>
      <w:bookmarkStart w:id="292" w:name="_5b334c81_ad7b_43e7_a743_bda401665c27_2"/>
      <w:bookmarkStart w:id="293" w:name="_5b334c81_ad7b_43e7_a743_bda401665c27"/>
      <w:bookmarkStart w:id="294" w:name="Tc_aQne7bD5U0SHoPjbdQgkIQ_7_0"/>
      <w:bookmarkStart w:id="295" w:name="Tc_HXN-dL-5o0mT6LtGU0MjGQ_6_2"/>
      <w:bookmarkStart w:id="296" w:name="Tc_t7EaKcIxlUasamIYCbfvHQ_6_0"/>
      <w:bookmarkStart w:id="297" w:name="Tc_NI5hL1JBeUqTQkhuLiqeKQ_5_0"/>
      <w:bookmarkStart w:id="298" w:name="Tc_G-HLPayBKU-77IAQ70nRGQ_4_8"/>
      <w:bookmarkStart w:id="299" w:name="Tc_nHmW1viCnUSA25AZr1DWJw_3_8"/>
      <w:bookmarkStart w:id="300" w:name="Tc_6XzTWbfDqU2642ohTUAxqQ_3_6"/>
      <w:bookmarkStart w:id="301" w:name="Tc_1M-imZ6zYEmYvmne52IZgw_3_4"/>
      <w:bookmarkStart w:id="302" w:name="Tc_AfFAkig_ZUOvns9w8n3wtw_2_8"/>
      <w:bookmarkStart w:id="303" w:name="Tc_bo6Pkd0D9ECpdgcvkGxJyQ_2_6"/>
      <w:bookmarkStart w:id="304" w:name="Tc_oq3Zlzd6ZU2QMuOKCM1zoQ_2_4"/>
      <w:bookmarkStart w:id="305" w:name="Tc_WMPrWrrNGkiPkIV-BFSQrQ_2_2"/>
      <w:bookmarkStart w:id="306" w:name="Tc_KJ5cBjXLAk-L8VArEulHGQ_1_4"/>
      <w:bookmarkStart w:id="307" w:name="_8d0f2e91_9fbd_49cf_b57c_0eca3cd98152"/>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10205" w:type="dxa"/>
        <w:jc w:val="left"/>
        <w:tblInd w:w="0" w:type="dxa"/>
        <w:tblCellMar>
          <w:top w:w="0" w:type="dxa"/>
          <w:left w:w="0" w:type="dxa"/>
          <w:bottom w:w="0" w:type="dxa"/>
          <w:right w:w="0" w:type="dxa"/>
        </w:tblCellMar>
      </w:tblPr>
      <w:tblGrid>
        <w:gridCol w:w="5702"/>
        <w:gridCol w:w="326"/>
        <w:gridCol w:w="451"/>
        <w:gridCol w:w="326"/>
        <w:gridCol w:w="931"/>
        <w:gridCol w:w="326"/>
        <w:gridCol w:w="931"/>
        <w:gridCol w:w="326"/>
        <w:gridCol w:w="886"/>
      </w:tblGrid>
      <w:tr>
        <w:trPr/>
        <w:tc>
          <w:tcPr>
            <w:tcW w:w="57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20770" cy="175260"/>
                      <wp:effectExtent l="0" t="0" r="0" b="0"/>
                      <wp:wrapNone/>
                      <wp:docPr id="276" name="Frame268"/>
                      <a:graphic xmlns:a="http://schemas.openxmlformats.org/drawingml/2006/main">
                        <a:graphicData uri="http://schemas.microsoft.com/office/word/2010/wordprocessingShape">
                          <wps:wsp>
                            <wps:cNvSpPr txBox="1"/>
                            <wps:spPr>
                              <a:xfrm>
                                <a:off x="0" y="0"/>
                                <a:ext cx="3620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86385" cy="175260"/>
                      <wp:effectExtent l="0" t="0" r="0" b="0"/>
                      <wp:wrapNone/>
                      <wp:docPr id="278" name="Frame270"/>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91185" cy="175260"/>
                      <wp:effectExtent l="0" t="0" r="0" b="0"/>
                      <wp:wrapNone/>
                      <wp:docPr id="280" name="Frame27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91185" cy="175260"/>
                      <wp:effectExtent l="0" t="0" r="0" b="0"/>
                      <wp:wrapNone/>
                      <wp:docPr id="282" name="Frame27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62610" cy="175260"/>
                      <wp:effectExtent l="0" t="0" r="0" b="0"/>
                      <wp:wrapNone/>
                      <wp:docPr id="284" name="Frame27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702"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702"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Note</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5702"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    </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USD’000</w:t>
            </w:r>
          </w:p>
        </w:tc>
      </w:tr>
      <w:tr>
        <w:trPr/>
        <w:tc>
          <w:tcPr>
            <w:tcW w:w="5702"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w:t>
            </w:r>
          </w:p>
        </w:tc>
        <w:tc>
          <w:tcPr>
            <w:tcW w:w="4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shd w:fill="auto" w:val="clear"/>
            <w:vAlign w:val="center"/>
          </w:tcPr>
          <w:p>
            <w:pPr>
              <w:pStyle w:val="TableContents"/>
              <w:spacing w:before="0" w:after="1"/>
              <w:ind w:left="0" w:right="0" w:hanging="0"/>
              <w:jc w:val="center"/>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shd w:fill="auto" w:val="clear"/>
            <w:vAlign w:val="center"/>
          </w:tcPr>
          <w:p>
            <w:pPr>
              <w:pStyle w:val="TableContents"/>
              <w:spacing w:before="0" w:after="1"/>
              <w:ind w:left="0" w:right="0" w:hanging="0"/>
              <w:jc w:val="center"/>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Note 2(d)</w:t>
            </w:r>
          </w:p>
        </w:tc>
      </w:tr>
      <w:tr>
        <w:trPr/>
        <w:tc>
          <w:tcPr>
            <w:tcW w:w="5702"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Equity</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5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570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color w:val="231F20"/>
                <w:sz w:val="20"/>
              </w:rPr>
              <w:t xml:space="preserve">Class A ordinary shares (USD0.0001 par value; 2,900,000,000 shares authorized; 303,289,537 and 319,677,037 shares </w:t>
            </w:r>
            <w:r>
              <w:rPr>
                <w:rFonts w:ascii="Times New Roman;Times;serif" w:hAnsi="Times New Roman;Times;serif"/>
                <w:b w:val="false"/>
                <w:i w:val="false"/>
                <w:caps w:val="false"/>
                <w:smallCaps w:val="false"/>
                <w:color w:val="231F20"/>
                <w:sz w:val="20"/>
              </w:rPr>
              <w:t>issued</w:t>
            </w:r>
            <w:r>
              <w:rPr>
                <w:rFonts w:ascii="Times New Roman;Times;serif" w:hAnsi="Times New Roman;Times;serif"/>
                <w:color w:val="231F20"/>
                <w:sz w:val="20"/>
              </w:rPr>
              <w:t xml:space="preserve"> and </w:t>
            </w:r>
            <w:r>
              <w:rPr>
                <w:rFonts w:ascii="Times New Roman;Times;serif" w:hAnsi="Times New Roman;Times;serif"/>
                <w:b w:val="false"/>
                <w:i w:val="false"/>
                <w:caps w:val="false"/>
                <w:smallCaps w:val="false"/>
                <w:color w:val="231F20"/>
                <w:sz w:val="20"/>
              </w:rPr>
              <w:t>outstanding</w:t>
            </w:r>
            <w:r>
              <w:rPr>
                <w:rFonts w:ascii="Times New Roman;Times;serif" w:hAnsi="Times New Roman;Times;serif"/>
                <w:color w:val="231F20"/>
                <w:sz w:val="20"/>
              </w:rPr>
              <w:t xml:space="preserve"> as of December 31, 2021 and 2022, respectively)</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16</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218</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229</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33</w:t>
            </w:r>
          </w:p>
        </w:tc>
      </w:tr>
      <w:tr>
        <w:trPr/>
        <w:tc>
          <w:tcPr>
            <w:tcW w:w="5702"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Class B ordinary shares (USD0.0001 par value; 100,000,000 shares authorized; 73,680,917 shares issued and outstanding)</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451" w:type="dxa"/>
            <w:tcBorders/>
            <w:shd w:fill="CCEEFF"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16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w:t>
            </w:r>
          </w:p>
        </w:tc>
      </w:tr>
      <w:tr>
        <w:trPr/>
        <w:tc>
          <w:tcPr>
            <w:tcW w:w="5702"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Additional paid in capital</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764,502</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1,286,189</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186,480</w:t>
            </w:r>
          </w:p>
        </w:tc>
      </w:tr>
      <w:tr>
        <w:trPr/>
        <w:tc>
          <w:tcPr>
            <w:tcW w:w="5702"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Accumulated deficit</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(176,403)</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(78,304)</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(11,353)</w:t>
            </w:r>
          </w:p>
        </w:tc>
      </w:tr>
      <w:tr>
        <w:trPr/>
        <w:tc>
          <w:tcPr>
            <w:tcW w:w="5702"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Accumulated other comprehensive loss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(8,947)</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(10,865)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(1,575)</w:t>
            </w:r>
          </w:p>
        </w:tc>
      </w:tr>
      <w:tr>
        <w:trPr/>
        <w:tc>
          <w:tcPr>
            <w:tcW w:w="5702"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Total equity attributable to shareholders of the Company</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579,426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1,197,305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173,593</w:t>
            </w:r>
          </w:p>
        </w:tc>
      </w:tr>
      <w:tr>
        <w:trPr/>
        <w:tc>
          <w:tcPr>
            <w:tcW w:w="5702"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Non-controlling interests</w:t>
            </w:r>
          </w:p>
        </w:tc>
        <w:tc>
          <w:tcPr>
            <w:tcW w:w="326" w:type="dxa"/>
            <w:tcBorders/>
            <w:shd w:fill="auto" w:val="clear"/>
            <w:vAlign w:val="center"/>
          </w:tcPr>
          <w:p>
            <w:pPr>
              <w:pStyle w:val="TableContents"/>
              <w:spacing w:before="0" w:after="1"/>
              <w:ind w:left="0" w:right="0" w:hanging="0"/>
              <w:rPr/>
            </w:pPr>
            <w:r>
              <w:rPr/>
              <w:t> </w:t>
            </w:r>
          </w:p>
        </w:tc>
        <w:tc>
          <w:tcPr>
            <w:tcW w:w="45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(14,811)</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(9,899)</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(1,435)</w:t>
            </w:r>
          </w:p>
        </w:tc>
      </w:tr>
      <w:tr>
        <w:trPr/>
        <w:tc>
          <w:tcPr>
            <w:tcW w:w="5702"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Total equity</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564,615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1,187,406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172,158</w:t>
            </w:r>
          </w:p>
        </w:tc>
      </w:tr>
      <w:tr>
        <w:trPr/>
        <w:tc>
          <w:tcPr>
            <w:tcW w:w="5702"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Commitments and contingencies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451" w:type="dxa"/>
            <w:tcBorders/>
            <w:shd w:fill="auto" w:val="clear"/>
            <w:vAlign w:val="center"/>
          </w:tcPr>
          <w:p>
            <w:pPr>
              <w:pStyle w:val="TableContents"/>
              <w:spacing w:before="0" w:after="1"/>
              <w:ind w:left="0" w:right="0" w:hanging="0"/>
              <w:jc w:val="center"/>
              <w:rPr>
                <w:rFonts w:ascii="Times New Roman;Times;serif" w:hAnsi="Times New Roman;Times;serif"/>
                <w:color w:val="231F20"/>
                <w:sz w:val="20"/>
              </w:rPr>
            </w:pPr>
            <w:r>
              <w:rPr>
                <w:rFonts w:ascii="Times New Roman;Times;serif" w:hAnsi="Times New Roman;Times;serif"/>
                <w:color w:val="231F20"/>
                <w:sz w:val="20"/>
              </w:rPr>
              <w:t>18</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caps w:val="false"/>
                <w:smallCaps w:val="false"/>
                <w:color w:val="231F20"/>
              </w:rPr>
            </w:pPr>
            <w:r>
              <w:rPr>
                <w:caps w:val="false"/>
                <w:smallCaps w:val="false"/>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caps w:val="false"/>
                <w:smallCaps w:val="false"/>
                <w:color w:val="231F20"/>
              </w:rPr>
            </w:pPr>
            <w:r>
              <w:rPr>
                <w:caps w:val="false"/>
                <w:smallCaps w:val="false"/>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caps w:val="false"/>
                <w:smallCaps w:val="false"/>
                <w:color w:val="231F20"/>
              </w:rPr>
            </w:pPr>
            <w:r>
              <w:rPr>
                <w:caps w:val="false"/>
                <w:smallCaps w:val="false"/>
                <w:color w:val="231F20"/>
              </w:rPr>
              <w:t>—</w:t>
            </w:r>
          </w:p>
        </w:tc>
      </w:tr>
      <w:tr>
        <w:trPr/>
        <w:tc>
          <w:tcPr>
            <w:tcW w:w="5702" w:type="dxa"/>
            <w:tcBorders/>
            <w:shd w:fill="CCEEFF" w:val="clear"/>
            <w:vAlign w:val="center"/>
          </w:tcPr>
          <w:p>
            <w:pPr>
              <w:pStyle w:val="TableContents"/>
              <w:pBdr/>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Total liabilities and shareholders’ equity</w:t>
            </w:r>
          </w:p>
        </w:tc>
        <w:tc>
          <w:tcPr>
            <w:tcW w:w="326" w:type="dxa"/>
            <w:tcBorders/>
            <w:shd w:fill="CCEEFF" w:val="clear"/>
            <w:vAlign w:val="center"/>
          </w:tcPr>
          <w:p>
            <w:pPr>
              <w:pStyle w:val="TableContents"/>
              <w:spacing w:before="0" w:after="1"/>
              <w:ind w:left="0" w:right="0" w:hanging="0"/>
              <w:rPr/>
            </w:pPr>
            <w:r>
              <w:rPr/>
              <w:t> </w:t>
            </w:r>
          </w:p>
        </w:tc>
        <w:tc>
          <w:tcPr>
            <w:tcW w:w="45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2,245,147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4,762,026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690,429</w:t>
            </w:r>
          </w:p>
        </w:tc>
      </w:tr>
    </w:tbl>
    <w:p>
      <w:pPr>
        <w:pStyle w:val="TextBody"/>
        <w:spacing w:before="0" w:after="240"/>
        <w:ind w:left="0" w:right="0" w:firstLine="36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24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Times New Roman;Times;serif" w:hAnsi="Times New Roman;Times;serif"/>
          <w:b/>
          <w:sz w:val="20"/>
        </w:rPr>
      </w:pPr>
      <w:bookmarkStart w:id="308" w:name="_19464ae5_3778_4b14_b66f_217c7dcf4a75"/>
      <w:bookmarkEnd w:id="308"/>
      <w:r>
        <w:rPr>
          <w:rFonts w:ascii="Times New Roman;Times;serif" w:hAnsi="Times New Roman;Times;serif"/>
          <w:b/>
          <w:sz w:val="20"/>
        </w:rPr>
        <w:t>ATOUR LIFESTYLE HOLDINGS LIMITED</w:t>
      </w:r>
    </w:p>
    <w:p>
      <w:pPr>
        <w:pStyle w:val="TextBody"/>
        <w:spacing w:before="0" w:after="120"/>
        <w:ind w:left="0" w:right="0" w:hanging="0"/>
        <w:jc w:val="center"/>
        <w:rPr>
          <w:rFonts w:ascii="Times New Roman;Times;serif" w:hAnsi="Times New Roman;Times;serif"/>
          <w:b/>
          <w:sz w:val="20"/>
        </w:rPr>
      </w:pPr>
      <w:bookmarkStart w:id="309" w:name="CONSOLIDATEDSTATEMENTSOFCOMPREHENSIVEINC"/>
      <w:bookmarkEnd w:id="309"/>
      <w:r>
        <w:rPr>
          <w:rFonts w:ascii="Times New Roman;Times;serif" w:hAnsi="Times New Roman;Times;serif"/>
          <w:b/>
          <w:sz w:val="20"/>
        </w:rPr>
        <w:t>CONSOLIDATED STATEMENTS OF COMPREHENSIVE INCOME</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310" w:name="Tc_CTmHfowFikSrpE5e3YDKHA_43_0"/>
      <w:bookmarkStart w:id="311" w:name="Tc_zfUqeIS-pUmHS5BfmtCLUQ_42_0"/>
      <w:bookmarkStart w:id="312" w:name="Tc_MZfd0Q4gtk6UoE8PUXt6ow_41_2"/>
      <w:bookmarkStart w:id="313" w:name="Tc_-94M3eSm_kmlOlcvLPLFzg_41_0"/>
      <w:bookmarkStart w:id="314" w:name="Tc_euhBDOnGy02ue7RptML86Q_40_0"/>
      <w:bookmarkStart w:id="315" w:name="Tc_vswvSJ_ZAUqdhFDYEBNX-A_39_0"/>
      <w:bookmarkStart w:id="316" w:name="Tc_pNsIo3FDCkGlxJpY0tzo5Q_38_2"/>
      <w:bookmarkStart w:id="317" w:name="Tc_8i9UZWHMF0-QZr85oXSTNg_38_0"/>
      <w:bookmarkStart w:id="318" w:name="Tc_IOQUzeCt80G5lTZhofdwRg_37_0"/>
      <w:bookmarkStart w:id="319" w:name="Tc_nz6FaVH260qEIvbMXShNLA_36_0"/>
      <w:bookmarkStart w:id="320" w:name="Tc_kcSmUiEC_kGNv4nFYL1yjA_35_0"/>
      <w:bookmarkStart w:id="321" w:name="Tc_NlVxVnVd_0i6P7pEUydLjg_34_4"/>
      <w:bookmarkStart w:id="322" w:name="Tc_Fd5OYbTGm0y024URDHcUZw_34_0"/>
      <w:bookmarkStart w:id="323" w:name="Tc_L7TNR_qNu0OzHa8wy0PelQ_33_4"/>
      <w:bookmarkStart w:id="324" w:name="Tc_-U7VCc9fXkmbhd5wrbMpmw_33_0"/>
      <w:bookmarkStart w:id="325" w:name="Tc_XcJeyhkhekWA0bLKcQiY9g_32_0"/>
      <w:bookmarkStart w:id="326" w:name="Tc_h9wSTnRBR0iwJJv6PXhOAg_31_0"/>
      <w:bookmarkStart w:id="327" w:name="Tc_fgxDw90YVkmw6W-kzbbrWA_30_0"/>
      <w:bookmarkStart w:id="328" w:name="Tc_Vs4GQTJ-3UyVOu3walzP_A_29_10"/>
      <w:bookmarkStart w:id="329" w:name="Tc_KsMnjMc_QUCVrfnKSTYFeQ_29_8"/>
      <w:bookmarkStart w:id="330" w:name="Tc_sk-EAd7ZBUeB7ymZ_Dlisw_29_2"/>
      <w:bookmarkStart w:id="331" w:name="Tc_gkHbkwqYAEK55569GsBckA_29_0"/>
      <w:bookmarkStart w:id="332" w:name="Tc_LiVl0y5DnUmXrHFYzXmAow_28_0"/>
      <w:bookmarkStart w:id="333" w:name="Tc_3BxeQiAxZE2cShpjaWll9g_27_0"/>
      <w:bookmarkStart w:id="334" w:name="Tc_5k1YFVK5gkGsQ0Lnyao79Q_26_0"/>
      <w:bookmarkStart w:id="335" w:name="Tc_aUfsqVwafESDjDsW3riNVQ_25_2"/>
      <w:bookmarkStart w:id="336" w:name="Tc_PubUqKFl7EK2kFJ3KEp5_w_25_0"/>
      <w:bookmarkStart w:id="337" w:name="Tc_hEzC9H_UQE2mame5US5fZg_24_0"/>
      <w:bookmarkStart w:id="338" w:name="Tc_K1Hiv_PLQ0e6wlTdc6oT-w_23_0"/>
      <w:bookmarkStart w:id="339" w:name="Tc_MC9ufZ8yikWhq1zdnPGOhA_22_0"/>
      <w:bookmarkStart w:id="340" w:name="Tc_1vXNq5H8e0yDXVx3m27XSw_21_0"/>
      <w:bookmarkStart w:id="341" w:name="Tc_5TfBITZu3kmEGCSA8pmXyg_20_0"/>
      <w:bookmarkStart w:id="342" w:name="Tc_r5sZ2AApmkW7eGsuXNenmg_19_0"/>
      <w:bookmarkStart w:id="343" w:name="Tc_4TQmnbQev0CHzU02SKmw6Q_18_2"/>
      <w:bookmarkStart w:id="344" w:name="Tc_V6jJAG2U4UOReHEYacNllQ_18_0"/>
      <w:bookmarkStart w:id="345" w:name="Tc_IkpPa147uECIH79igCrPIQ_17_0"/>
      <w:bookmarkStart w:id="346" w:name="Tc_NNAkfE0h6EunrPeqf_9xqw_16_10"/>
      <w:bookmarkStart w:id="347" w:name="Tc_9bGTh1xxiEuI6I9-k6naBQ_16_8"/>
      <w:bookmarkStart w:id="348" w:name="Tc_H8_mLTvOWEmgUzGa_SuJ9w_16_0"/>
      <w:bookmarkStart w:id="349" w:name="Tc_IxZJBhFlHkG_SCSHCP2TGA_15_0"/>
      <w:bookmarkStart w:id="350" w:name="Tc_u3D0CpWgmEeRc9ltnSvaMg_14_0"/>
      <w:bookmarkStart w:id="351" w:name="Tc_2P87NiBNk0G1_4MgtbOLDg_13_0"/>
      <w:bookmarkStart w:id="352" w:name="Tc_CISolqiK90q4IiemfuFz_w_12_0"/>
      <w:bookmarkStart w:id="353" w:name="Tc_Zkz-mbdbskib8JLfSKfadA_11_0"/>
      <w:bookmarkStart w:id="354" w:name="Tc_VLF7MVeJ1k-W0IcQrdJysA_10_0"/>
      <w:bookmarkStart w:id="355" w:name="Tc_hUoKPe7g2kqvgQ99j2WVXg_9_0"/>
      <w:bookmarkStart w:id="356" w:name="Tc_xr2LG9Vp60CcYZZoAmd5fQ_8_0"/>
      <w:bookmarkStart w:id="357" w:name="Tc_gdDDS9eg4Eqz42uI3vNGyA_7_0"/>
      <w:bookmarkStart w:id="358" w:name="Tc_1iTZWtkTRkG0mXDDrC0HXg_6_0"/>
      <w:bookmarkStart w:id="359" w:name="Tc_axT2Y4zmS0yER3-b23zung_5_2"/>
      <w:bookmarkStart w:id="360" w:name="Tc_XZ7aX8lo50Ojk72LF0MaWw_5_0"/>
      <w:bookmarkStart w:id="361" w:name="Tc_XGhoqdrUoUKiDmjayTXthw_4_10"/>
      <w:bookmarkStart w:id="362" w:name="Tc_eUUekfLjsEqajcHGZX6diw_3_10"/>
      <w:bookmarkStart w:id="363" w:name="Tc_F70YR_cXOkCbsN-WFYNEAQ_3_8"/>
      <w:bookmarkStart w:id="364" w:name="Tc_4oFILuvtyki_gUa6Rp6dfA_3_6"/>
      <w:bookmarkStart w:id="365" w:name="Tc_dTd04pAZ8UaTFJdq6z7mKQ_3_4"/>
      <w:bookmarkStart w:id="366" w:name="Tc_WeGH3_Q920WXL1OpkJNkrg_2_10"/>
      <w:bookmarkStart w:id="367" w:name="Tc_SFe_mTtP-USgjgfAhhAwMw_2_8"/>
      <w:bookmarkStart w:id="368" w:name="Tc_wNT0IpU5AEqVaVHFVHcuZQ_2_6"/>
      <w:bookmarkStart w:id="369" w:name="Tc_Asiry98goE-w7eXgONsHnQ_2_4"/>
      <w:bookmarkStart w:id="370" w:name="Tc_Zk0H1rLsmkebhij3IdUc4A_2_2"/>
      <w:bookmarkStart w:id="371" w:name="Tc_Mm4YhUFxUkuGN1haJ1M_3w_1_4"/>
      <w:bookmarkStart w:id="372" w:name="_71a96c60_cba8_41fd_bc6d_05cac44c2a37"/>
      <w:bookmarkStart w:id="373" w:name="Tc_CTmHfowFikSrpE5e3YDKHA_43_0"/>
      <w:bookmarkStart w:id="374" w:name="Tc_zfUqeIS-pUmHS5BfmtCLUQ_42_0"/>
      <w:bookmarkStart w:id="375" w:name="Tc_MZfd0Q4gtk6UoE8PUXt6ow_41_2"/>
      <w:bookmarkStart w:id="376" w:name="Tc_-94M3eSm_kmlOlcvLPLFzg_41_0"/>
      <w:bookmarkStart w:id="377" w:name="Tc_euhBDOnGy02ue7RptML86Q_40_0"/>
      <w:bookmarkStart w:id="378" w:name="Tc_vswvSJ_ZAUqdhFDYEBNX-A_39_0"/>
      <w:bookmarkStart w:id="379" w:name="Tc_pNsIo3FDCkGlxJpY0tzo5Q_38_2"/>
      <w:bookmarkStart w:id="380" w:name="Tc_8i9UZWHMF0-QZr85oXSTNg_38_0"/>
      <w:bookmarkStart w:id="381" w:name="Tc_IOQUzeCt80G5lTZhofdwRg_37_0"/>
      <w:bookmarkStart w:id="382" w:name="Tc_nz6FaVH260qEIvbMXShNLA_36_0"/>
      <w:bookmarkStart w:id="383" w:name="Tc_kcSmUiEC_kGNv4nFYL1yjA_35_0"/>
      <w:bookmarkStart w:id="384" w:name="Tc_NlVxVnVd_0i6P7pEUydLjg_34_4"/>
      <w:bookmarkStart w:id="385" w:name="Tc_Fd5OYbTGm0y024URDHcUZw_34_0"/>
      <w:bookmarkStart w:id="386" w:name="Tc_L7TNR_qNu0OzHa8wy0PelQ_33_4"/>
      <w:bookmarkStart w:id="387" w:name="Tc_-U7VCc9fXkmbhd5wrbMpmw_33_0"/>
      <w:bookmarkStart w:id="388" w:name="Tc_XcJeyhkhekWA0bLKcQiY9g_32_0"/>
      <w:bookmarkStart w:id="389" w:name="Tc_h9wSTnRBR0iwJJv6PXhOAg_31_0"/>
      <w:bookmarkStart w:id="390" w:name="Tc_fgxDw90YVkmw6W-kzbbrWA_30_0"/>
      <w:bookmarkStart w:id="391" w:name="Tc_Vs4GQTJ-3UyVOu3walzP_A_29_10"/>
      <w:bookmarkStart w:id="392" w:name="Tc_KsMnjMc_QUCVrfnKSTYFeQ_29_8"/>
      <w:bookmarkStart w:id="393" w:name="Tc_sk-EAd7ZBUeB7ymZ_Dlisw_29_2"/>
      <w:bookmarkStart w:id="394" w:name="Tc_gkHbkwqYAEK55569GsBckA_29_0"/>
      <w:bookmarkStart w:id="395" w:name="Tc_LiVl0y5DnUmXrHFYzXmAow_28_0"/>
      <w:bookmarkStart w:id="396" w:name="Tc_3BxeQiAxZE2cShpjaWll9g_27_0"/>
      <w:bookmarkStart w:id="397" w:name="Tc_5k1YFVK5gkGsQ0Lnyao79Q_26_0"/>
      <w:bookmarkStart w:id="398" w:name="Tc_aUfsqVwafESDjDsW3riNVQ_25_2"/>
      <w:bookmarkStart w:id="399" w:name="Tc_PubUqKFl7EK2kFJ3KEp5_w_25_0"/>
      <w:bookmarkStart w:id="400" w:name="Tc_hEzC9H_UQE2mame5US5fZg_24_0"/>
      <w:bookmarkStart w:id="401" w:name="Tc_K1Hiv_PLQ0e6wlTdc6oT-w_23_0"/>
      <w:bookmarkStart w:id="402" w:name="Tc_MC9ufZ8yikWhq1zdnPGOhA_22_0"/>
      <w:bookmarkStart w:id="403" w:name="Tc_1vXNq5H8e0yDXVx3m27XSw_21_0"/>
      <w:bookmarkStart w:id="404" w:name="Tc_5TfBITZu3kmEGCSA8pmXyg_20_0"/>
      <w:bookmarkStart w:id="405" w:name="Tc_r5sZ2AApmkW7eGsuXNenmg_19_0"/>
      <w:bookmarkStart w:id="406" w:name="Tc_4TQmnbQev0CHzU02SKmw6Q_18_2"/>
      <w:bookmarkStart w:id="407" w:name="Tc_V6jJAG2U4UOReHEYacNllQ_18_0"/>
      <w:bookmarkStart w:id="408" w:name="Tc_IkpPa147uECIH79igCrPIQ_17_0"/>
      <w:bookmarkStart w:id="409" w:name="Tc_NNAkfE0h6EunrPeqf_9xqw_16_10"/>
      <w:bookmarkStart w:id="410" w:name="Tc_9bGTh1xxiEuI6I9-k6naBQ_16_8"/>
      <w:bookmarkStart w:id="411" w:name="Tc_H8_mLTvOWEmgUzGa_SuJ9w_16_0"/>
      <w:bookmarkStart w:id="412" w:name="Tc_IxZJBhFlHkG_SCSHCP2TGA_15_0"/>
      <w:bookmarkStart w:id="413" w:name="Tc_u3D0CpWgmEeRc9ltnSvaMg_14_0"/>
      <w:bookmarkStart w:id="414" w:name="Tc_2P87NiBNk0G1_4MgtbOLDg_13_0"/>
      <w:bookmarkStart w:id="415" w:name="Tc_CISolqiK90q4IiemfuFz_w_12_0"/>
      <w:bookmarkStart w:id="416" w:name="Tc_Zkz-mbdbskib8JLfSKfadA_11_0"/>
      <w:bookmarkStart w:id="417" w:name="Tc_VLF7MVeJ1k-W0IcQrdJysA_10_0"/>
      <w:bookmarkStart w:id="418" w:name="Tc_hUoKPe7g2kqvgQ99j2WVXg_9_0"/>
      <w:bookmarkStart w:id="419" w:name="Tc_xr2LG9Vp60CcYZZoAmd5fQ_8_0"/>
      <w:bookmarkStart w:id="420" w:name="Tc_gdDDS9eg4Eqz42uI3vNGyA_7_0"/>
      <w:bookmarkStart w:id="421" w:name="Tc_1iTZWtkTRkG0mXDDrC0HXg_6_0"/>
      <w:bookmarkStart w:id="422" w:name="Tc_axT2Y4zmS0yER3-b23zung_5_2"/>
      <w:bookmarkStart w:id="423" w:name="Tc_XZ7aX8lo50Ojk72LF0MaWw_5_0"/>
      <w:bookmarkStart w:id="424" w:name="Tc_XGhoqdrUoUKiDmjayTXthw_4_10"/>
      <w:bookmarkStart w:id="425" w:name="Tc_eUUekfLjsEqajcHGZX6diw_3_10"/>
      <w:bookmarkStart w:id="426" w:name="Tc_F70YR_cXOkCbsN-WFYNEAQ_3_8"/>
      <w:bookmarkStart w:id="427" w:name="Tc_4oFILuvtyki_gUa6Rp6dfA_3_6"/>
      <w:bookmarkStart w:id="428" w:name="Tc_dTd04pAZ8UaTFJdq6z7mKQ_3_4"/>
      <w:bookmarkStart w:id="429" w:name="Tc_WeGH3_Q920WXL1OpkJNkrg_2_10"/>
      <w:bookmarkStart w:id="430" w:name="Tc_SFe_mTtP-USgjgfAhhAwMw_2_8"/>
      <w:bookmarkStart w:id="431" w:name="Tc_wNT0IpU5AEqVaVHFVHcuZQ_2_6"/>
      <w:bookmarkStart w:id="432" w:name="Tc_Asiry98goE-w7eXgONsHnQ_2_4"/>
      <w:bookmarkStart w:id="433" w:name="Tc_Zk0H1rLsmkebhij3IdUc4A_2_2"/>
      <w:bookmarkStart w:id="434" w:name="Tc_Mm4YhUFxUkuGN1haJ1M_3w_1_4"/>
      <w:bookmarkStart w:id="435" w:name="_71a96c60_cba8_41fd_bc6d_05cac44c2a37"/>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10205" w:type="dxa"/>
        <w:jc w:val="left"/>
        <w:tblInd w:w="0" w:type="dxa"/>
        <w:tblCellMar>
          <w:top w:w="0" w:type="dxa"/>
          <w:left w:w="0" w:type="dxa"/>
          <w:bottom w:w="0" w:type="dxa"/>
          <w:right w:w="0" w:type="dxa"/>
        </w:tblCellMar>
      </w:tblPr>
      <w:tblGrid>
        <w:gridCol w:w="4508"/>
        <w:gridCol w:w="326"/>
        <w:gridCol w:w="597"/>
        <w:gridCol w:w="326"/>
        <w:gridCol w:w="841"/>
        <w:gridCol w:w="326"/>
        <w:gridCol w:w="841"/>
        <w:gridCol w:w="326"/>
        <w:gridCol w:w="841"/>
        <w:gridCol w:w="326"/>
        <w:gridCol w:w="947"/>
      </w:tblGrid>
      <w:tr>
        <w:trPr/>
        <w:tc>
          <w:tcPr>
            <w:tcW w:w="45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862580" cy="175260"/>
                      <wp:effectExtent l="0" t="0" r="0" b="0"/>
                      <wp:wrapNone/>
                      <wp:docPr id="285" name="Frame277"/>
                      <a:graphic xmlns:a="http://schemas.openxmlformats.org/drawingml/2006/main">
                        <a:graphicData uri="http://schemas.microsoft.com/office/word/2010/wordprocessingShape">
                          <wps:wsp>
                            <wps:cNvSpPr txBox="1"/>
                            <wps:spPr>
                              <a:xfrm>
                                <a:off x="0" y="0"/>
                                <a:ext cx="2862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79095" cy="175260"/>
                      <wp:effectExtent l="0" t="0" r="0" b="0"/>
                      <wp:wrapNone/>
                      <wp:docPr id="287" name="Frame279"/>
                      <a:graphic xmlns:a="http://schemas.openxmlformats.org/drawingml/2006/main">
                        <a:graphicData uri="http://schemas.microsoft.com/office/word/2010/wordprocessingShape">
                          <wps:wsp>
                            <wps:cNvSpPr txBox="1"/>
                            <wps:spPr>
                              <a:xfrm>
                                <a:off x="0" y="0"/>
                                <a:ext cx="379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4035" cy="175260"/>
                      <wp:effectExtent l="0" t="0" r="0" b="0"/>
                      <wp:wrapNone/>
                      <wp:docPr id="289" name="Frame28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34035" cy="175260"/>
                      <wp:effectExtent l="0" t="0" r="0" b="0"/>
                      <wp:wrapNone/>
                      <wp:docPr id="291" name="Frame28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34035" cy="175260"/>
                      <wp:effectExtent l="0" t="0" r="0" b="0"/>
                      <wp:wrapNone/>
                      <wp:docPr id="293" name="Frame28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01345" cy="175260"/>
                      <wp:effectExtent l="0" t="0" r="0" b="0"/>
                      <wp:wrapNone/>
                      <wp:docPr id="295" name="Frame287"/>
                      <a:graphic xmlns:a="http://schemas.openxmlformats.org/drawingml/2006/main">
                        <a:graphicData uri="http://schemas.microsoft.com/office/word/2010/wordprocessingShape">
                          <wps:wsp>
                            <wps:cNvSpPr txBox="1"/>
                            <wps:spPr>
                              <a:xfrm>
                                <a:off x="0" y="0"/>
                                <a:ext cx="601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4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Years ended December 31,</w:t>
            </w:r>
          </w:p>
        </w:tc>
      </w:tr>
      <w:tr>
        <w:trPr/>
        <w:tc>
          <w:tcPr>
            <w:tcW w:w="4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shd w:fill="auto" w:val="clear"/>
            <w:vAlign w:val="center"/>
          </w:tcPr>
          <w:p>
            <w:pPr>
              <w:pStyle w:val="TableContents"/>
              <w:spacing w:before="0" w:after="0"/>
              <w:ind w:left="0" w:right="0" w:hanging="0"/>
              <w:jc w:val="center"/>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4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 ‘000</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 ‘000</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 ‘000</w:t>
            </w:r>
          </w:p>
        </w:tc>
        <w:tc>
          <w:tcPr>
            <w:tcW w:w="326" w:type="dxa"/>
            <w:tcBorders/>
            <w:shd w:fill="auto" w:val="clear"/>
            <w:vAlign w:val="center"/>
          </w:tcPr>
          <w:p>
            <w:pPr>
              <w:pStyle w:val="TableContents"/>
              <w:spacing w:before="0" w:after="0"/>
              <w:ind w:left="0" w:right="0" w:hanging="0"/>
              <w:jc w:val="center"/>
              <w:rPr/>
            </w:pPr>
            <w:r>
              <w:rPr/>
              <w:t>​</w:t>
            </w:r>
          </w:p>
        </w:tc>
        <w:tc>
          <w:tcPr>
            <w:tcW w:w="947"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USD ‘000</w:t>
            </w:r>
          </w:p>
        </w:tc>
      </w:tr>
      <w:tr>
        <w:trPr/>
        <w:tc>
          <w:tcPr>
            <w:tcW w:w="45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7"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2(d)</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Revenues: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13</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pPr>
            <w:r>
              <w:rPr/>
              <w:t>  </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Manachised hotels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926,307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1,220,301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1,360,843</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197,304</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Leased hotels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496,470</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630,238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552,929</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80,167</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Retail revenues and others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143,775</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297,038</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349,211</w:t>
            </w:r>
          </w:p>
        </w:tc>
        <w:tc>
          <w:tcPr>
            <w:tcW w:w="326" w:type="dxa"/>
            <w:tcBorders/>
            <w:shd w:fill="auto" w:val="clear"/>
            <w:vAlign w:val="center"/>
          </w:tcPr>
          <w:p>
            <w:pPr>
              <w:pStyle w:val="TableContents"/>
              <w:spacing w:before="0" w:after="0"/>
              <w:ind w:left="0" w:right="0" w:hanging="0"/>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50,631</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revenues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1,566,552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2,147,577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2,262,983</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328,102</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Operating costs and expenses: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pPr>
            <w:r>
              <w:rPr/>
              <w:t>  </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Hotel operating costs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(1,150,101)</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(1,419,578)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(1,393,312)</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(202,011)</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operating costs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(78,746)</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(163,324)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(186,685)</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(27,068)</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Selling and marketing expenses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(70,972)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(124,210)</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(139,929)</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(20,288)</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(131,366)</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(197,064)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(350,009)</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(50,746)</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Technology and development expenses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(33,649)</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(52,121)</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(66,182)</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(9,594)</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Pre-opening expenses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(61,878)</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(17,595)</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operating costs and expenses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(1,526,712)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(1,973,892)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(2,136,117)</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(309,707)</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operating income</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2(s), 2(w)</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23,429</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22,371</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38,094</w:t>
            </w:r>
          </w:p>
        </w:tc>
        <w:tc>
          <w:tcPr>
            <w:tcW w:w="326" w:type="dxa"/>
            <w:tcBorders/>
            <w:shd w:fill="auto" w:val="clear"/>
            <w:vAlign w:val="center"/>
          </w:tcPr>
          <w:p>
            <w:pPr>
              <w:pStyle w:val="TableContents"/>
              <w:spacing w:before="0" w:after="0"/>
              <w:ind w:left="0" w:right="0" w:hanging="0"/>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5,523</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Income from operation</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63,269</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196,056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164,960</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23,918</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Interest income</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14,456</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2,097</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Gain from short-term investments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11,046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8,745</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8,455</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1,226</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Interest expenses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(7,937)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(6,501)</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(943)</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Other income (expenses), net</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1,883</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301</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(814)</w:t>
            </w:r>
          </w:p>
        </w:tc>
        <w:tc>
          <w:tcPr>
            <w:tcW w:w="326" w:type="dxa"/>
            <w:tcBorders/>
            <w:shd w:fill="CCEEFF" w:val="clear"/>
            <w:vAlign w:val="center"/>
          </w:tcPr>
          <w:p>
            <w:pPr>
              <w:pStyle w:val="TableContents"/>
              <w:spacing w:before="0" w:after="0"/>
              <w:ind w:left="0" w:right="0" w:hanging="0"/>
              <w:rPr/>
            </w:pPr>
            <w:r>
              <w:rPr/>
              <w:t> </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Income before income tax</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75,424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203,887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180,556</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26,180</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Income tax expense</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(37,602)</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(64,217)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(84,474)</w:t>
            </w:r>
          </w:p>
        </w:tc>
        <w:tc>
          <w:tcPr>
            <w:tcW w:w="326" w:type="dxa"/>
            <w:tcBorders/>
            <w:shd w:fill="CCEEFF" w:val="clear"/>
            <w:vAlign w:val="center"/>
          </w:tcPr>
          <w:p>
            <w:pPr>
              <w:pStyle w:val="TableContents"/>
              <w:spacing w:before="0" w:after="0"/>
              <w:ind w:left="0" w:right="0" w:hanging="0"/>
              <w:rPr/>
            </w:pPr>
            <w:r>
              <w:rPr/>
              <w:t> </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(12,248)</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income</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37,822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139,670</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96,082</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13,932</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Less: net loss attributable to non-controlling interests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(4,229)</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(5,384)</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(2,017)</w:t>
            </w:r>
          </w:p>
        </w:tc>
        <w:tc>
          <w:tcPr>
            <w:tcW w:w="326" w:type="dxa"/>
            <w:tcBorders/>
            <w:shd w:fill="CCEEFF" w:val="clear"/>
            <w:vAlign w:val="center"/>
          </w:tcPr>
          <w:p>
            <w:pPr>
              <w:pStyle w:val="TableContents"/>
              <w:spacing w:before="0" w:after="0"/>
              <w:ind w:left="0" w:right="0" w:hanging="0"/>
              <w:rPr/>
            </w:pPr>
            <w:r>
              <w:rPr/>
              <w:t> </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(291)</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income attributable to the Company</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42,051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145,054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98,099</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14,223</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Less: accretion of redeemable Class A ordinary shares*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12</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(52,881)</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(15,115)</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(loss) income available to shareholders of the Company</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(10,830)</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129,939</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98,099</w:t>
            </w:r>
          </w:p>
        </w:tc>
        <w:tc>
          <w:tcPr>
            <w:tcW w:w="326" w:type="dxa"/>
            <w:tcBorders/>
            <w:shd w:fill="auto" w:val="clear"/>
            <w:vAlign w:val="center"/>
          </w:tcPr>
          <w:p>
            <w:pPr>
              <w:pStyle w:val="TableContents"/>
              <w:spacing w:before="0" w:after="0"/>
              <w:ind w:left="0" w:right="0" w:hanging="0"/>
              <w:rPr/>
            </w:pPr>
            <w:r>
              <w:rPr/>
              <w:t> </w:t>
            </w:r>
          </w:p>
        </w:tc>
        <w:tc>
          <w:tcPr>
            <w:tcW w:w="94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14,223</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Net income</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37,822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139,670</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96,082</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13,932</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Other comprehensive loss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pPr>
            <w:r>
              <w:rPr/>
              <w:t>  </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Foreign currency translation adjustments, net of nil income taxes</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(8,947)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(1,918)</w:t>
            </w:r>
          </w:p>
        </w:tc>
        <w:tc>
          <w:tcPr>
            <w:tcW w:w="326" w:type="dxa"/>
            <w:tcBorders/>
            <w:shd w:fill="CCEEFF" w:val="clear"/>
            <w:vAlign w:val="center"/>
          </w:tcPr>
          <w:p>
            <w:pPr>
              <w:pStyle w:val="TableContents"/>
              <w:spacing w:before="0" w:after="0"/>
              <w:ind w:left="0" w:right="0" w:hanging="0"/>
              <w:rPr/>
            </w:pPr>
            <w:r>
              <w:rPr/>
              <w:t> </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Other comprehensive loss, net of income taxes</w:t>
            </w:r>
          </w:p>
        </w:tc>
        <w:tc>
          <w:tcPr>
            <w:tcW w:w="3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(8,947)</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(1,918)</w:t>
            </w:r>
          </w:p>
        </w:tc>
        <w:tc>
          <w:tcPr>
            <w:tcW w:w="326" w:type="dxa"/>
            <w:tcBorders/>
            <w:shd w:fill="auto" w:val="clear"/>
            <w:vAlign w:val="center"/>
          </w:tcPr>
          <w:p>
            <w:pPr>
              <w:pStyle w:val="TableContents"/>
              <w:spacing w:before="0" w:after="0"/>
              <w:ind w:left="0" w:right="0" w:hanging="0"/>
              <w:rPr/>
            </w:pPr>
            <w:r>
              <w:rPr/>
              <w:t>​</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Total comprehensive income</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37,822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130,723</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94,164</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13,653</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Comprehensive loss attributable to non-controlling interests</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(4,229)</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(5,384)</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(2,017)</w:t>
            </w:r>
          </w:p>
        </w:tc>
        <w:tc>
          <w:tcPr>
            <w:tcW w:w="326" w:type="dxa"/>
            <w:tcBorders/>
            <w:shd w:fill="auto" w:val="clear"/>
            <w:vAlign w:val="center"/>
          </w:tcPr>
          <w:p>
            <w:pPr>
              <w:pStyle w:val="TableContents"/>
              <w:spacing w:before="0" w:after="0"/>
              <w:ind w:left="0" w:right="0" w:hanging="0"/>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(291)</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Comprehensive income attributable to the Company</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42,051</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136,107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96,181</w:t>
            </w:r>
          </w:p>
        </w:tc>
        <w:tc>
          <w:tcPr>
            <w:tcW w:w="326" w:type="dxa"/>
            <w:tcBorders/>
            <w:shd w:fill="CCEEFF" w:val="clear"/>
            <w:vAlign w:val="center"/>
          </w:tcPr>
          <w:p>
            <w:pPr>
              <w:pStyle w:val="TableContents"/>
              <w:spacing w:before="0" w:after="0"/>
              <w:ind w:left="0" w:right="0" w:hanging="0"/>
              <w:rPr/>
            </w:pPr>
            <w:r>
              <w:rPr/>
              <w:t> </w:t>
            </w:r>
          </w:p>
        </w:tc>
        <w:tc>
          <w:tcPr>
            <w:tcW w:w="9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4"/>
              </w:rPr>
            </w:pPr>
            <w:r>
              <w:rPr>
                <w:rFonts w:ascii="Times New Roman;Times;serif" w:hAnsi="Times New Roman;Times;serif"/>
                <w:b/>
                <w:sz w:val="14"/>
              </w:rPr>
              <w:t>13,944</w:t>
            </w:r>
          </w:p>
        </w:tc>
      </w:tr>
      <w:tr>
        <w:trPr/>
        <w:tc>
          <w:tcPr>
            <w:tcW w:w="4508"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(loss) income per ordinary share</w:t>
            </w:r>
          </w:p>
        </w:tc>
        <w:tc>
          <w:tcPr>
            <w:tcW w:w="326" w:type="dxa"/>
            <w:tcBorders/>
            <w:shd w:fill="auto" w:val="clear"/>
            <w:vAlign w:val="center"/>
          </w:tcPr>
          <w:p>
            <w:pPr>
              <w:pStyle w:val="TableContents"/>
              <w:spacing w:before="0" w:after="0"/>
              <w:ind w:left="0" w:right="0" w:hanging="0"/>
              <w:rPr/>
            </w:pPr>
            <w:r>
              <w:rPr/>
              <w:t> </w:t>
            </w:r>
          </w:p>
        </w:tc>
        <w:tc>
          <w:tcPr>
            <w:tcW w:w="597"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14</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pPr>
            <w:r>
              <w:rPr/>
              <w:t>  </w:t>
            </w:r>
          </w:p>
        </w:tc>
      </w:tr>
      <w:tr>
        <w:trPr/>
        <w:tc>
          <w:tcPr>
            <w:tcW w:w="4508" w:type="dxa"/>
            <w:tcBorders/>
            <w:shd w:fill="CCEEFF" w:val="clear"/>
            <w:vAlign w:val="center"/>
          </w:tcPr>
          <w:p>
            <w:pPr>
              <w:pStyle w:val="TableContents"/>
              <w:pBdr/>
              <w:spacing w:before="0" w:after="0"/>
              <w:ind w:left="0" w:right="0" w:hanging="0"/>
              <w:rPr/>
            </w:pPr>
            <w:r>
              <w:rPr/>
              <w:t>—</w:t>
            </w:r>
            <w:r>
              <w:rPr>
                <w:rFonts w:ascii="Times New Roman;Times;serif" w:hAnsi="Times New Roman;Times;serif"/>
                <w:sz w:val="14"/>
              </w:rPr>
              <w:t xml:space="preserve">Basic </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(0.06)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0.40</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0.26</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0.04</w:t>
            </w:r>
          </w:p>
        </w:tc>
      </w:tr>
      <w:tr>
        <w:trPr/>
        <w:tc>
          <w:tcPr>
            <w:tcW w:w="4508" w:type="dxa"/>
            <w:tcBorders/>
            <w:shd w:fill="auto" w:val="clear"/>
            <w:vAlign w:val="center"/>
          </w:tcPr>
          <w:p>
            <w:pPr>
              <w:pStyle w:val="TableContents"/>
              <w:pBdr/>
              <w:spacing w:before="0" w:after="0"/>
              <w:ind w:left="0" w:right="0" w:hanging="0"/>
              <w:rPr/>
            </w:pPr>
            <w:r>
              <w:rPr/>
              <w:t>—</w:t>
            </w:r>
            <w:r>
              <w:rPr>
                <w:rFonts w:ascii="Times New Roman;Times;serif" w:hAnsi="Times New Roman;Times;serif"/>
                <w:sz w:val="14"/>
              </w:rPr>
              <w:t>Diluted</w:t>
            </w:r>
          </w:p>
        </w:tc>
        <w:tc>
          <w:tcPr>
            <w:tcW w:w="3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(0.06)</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0.40</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0.26</w:t>
            </w:r>
          </w:p>
        </w:tc>
        <w:tc>
          <w:tcPr>
            <w:tcW w:w="326" w:type="dxa"/>
            <w:tcBorders/>
            <w:shd w:fill="auto" w:val="clear"/>
            <w:vAlign w:val="center"/>
          </w:tcPr>
          <w:p>
            <w:pPr>
              <w:pStyle w:val="TableContents"/>
              <w:spacing w:before="0" w:after="0"/>
              <w:ind w:left="0" w:right="0" w:hanging="0"/>
              <w:rPr/>
            </w:pPr>
            <w:r>
              <w:rPr/>
              <w:t>​</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0.04</w:t>
            </w:r>
          </w:p>
        </w:tc>
      </w:tr>
      <w:tr>
        <w:trPr/>
        <w:tc>
          <w:tcPr>
            <w:tcW w:w="4508"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Weighted average ordinary shares used in calculating net (loss) income per ordinary share</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pPr>
            <w:r>
              <w:rPr/>
              <w:t>  </w:t>
            </w:r>
          </w:p>
        </w:tc>
      </w:tr>
      <w:tr>
        <w:trPr/>
        <w:tc>
          <w:tcPr>
            <w:tcW w:w="4508" w:type="dxa"/>
            <w:tcBorders/>
            <w:shd w:fill="auto" w:val="clear"/>
            <w:vAlign w:val="center"/>
          </w:tcPr>
          <w:p>
            <w:pPr>
              <w:pStyle w:val="TableContents"/>
              <w:pBdr/>
              <w:spacing w:before="0" w:after="0"/>
              <w:ind w:left="0" w:right="0" w:hanging="0"/>
              <w:rPr/>
            </w:pPr>
            <w:r>
              <w:rPr/>
              <w:t>—</w:t>
            </w:r>
            <w:r>
              <w:rPr>
                <w:rFonts w:ascii="Times New Roman;Times;serif" w:hAnsi="Times New Roman;Times;serif"/>
                <w:sz w:val="14"/>
              </w:rPr>
              <w:t xml:space="preserve">Basic </w:t>
            </w:r>
          </w:p>
        </w:tc>
        <w:tc>
          <w:tcPr>
            <w:tcW w:w="326" w:type="dxa"/>
            <w:tcBorders/>
            <w:shd w:fill="auto" w:val="clear"/>
            <w:vAlign w:val="center"/>
          </w:tcPr>
          <w:p>
            <w:pPr>
              <w:pStyle w:val="TableContents"/>
              <w:spacing w:before="0" w:after="0"/>
              <w:ind w:left="0" w:right="0" w:hanging="0"/>
              <w:rPr/>
            </w:pPr>
            <w:r>
              <w:rPr/>
              <w:t>​</w:t>
            </w:r>
          </w:p>
        </w:tc>
        <w:tc>
          <w:tcPr>
            <w:tcW w:w="5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171,589,918</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323,163,367</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379,321,522</w:t>
            </w:r>
          </w:p>
        </w:tc>
        <w:tc>
          <w:tcPr>
            <w:tcW w:w="326" w:type="dxa"/>
            <w:tcBorders/>
            <w:shd w:fill="auto" w:val="clear"/>
            <w:vAlign w:val="center"/>
          </w:tcPr>
          <w:p>
            <w:pPr>
              <w:pStyle w:val="TableContents"/>
              <w:spacing w:before="0" w:after="0"/>
              <w:ind w:left="0" w:right="0" w:hanging="0"/>
              <w:rPr/>
            </w:pPr>
            <w:r>
              <w:rPr/>
              <w:t>​</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379,321,522</w:t>
            </w:r>
          </w:p>
        </w:tc>
      </w:tr>
      <w:tr>
        <w:trPr/>
        <w:tc>
          <w:tcPr>
            <w:tcW w:w="4508" w:type="dxa"/>
            <w:tcBorders/>
            <w:shd w:fill="CCEEFF" w:val="clear"/>
            <w:vAlign w:val="center"/>
          </w:tcPr>
          <w:p>
            <w:pPr>
              <w:pStyle w:val="TableContents"/>
              <w:pBdr/>
              <w:spacing w:before="0" w:after="0"/>
              <w:ind w:left="0" w:right="0" w:hanging="0"/>
              <w:rPr/>
            </w:pPr>
            <w:r>
              <w:rPr/>
              <w:t>—</w:t>
            </w:r>
            <w:r>
              <w:rPr>
                <w:rFonts w:ascii="Times New Roman;Times;serif" w:hAnsi="Times New Roman;Times;serif"/>
                <w:sz w:val="14"/>
              </w:rPr>
              <w:t>Diluted</w:t>
            </w:r>
          </w:p>
        </w:tc>
        <w:tc>
          <w:tcPr>
            <w:tcW w:w="326" w:type="dxa"/>
            <w:tcBorders/>
            <w:shd w:fill="CCEEFF" w:val="clear"/>
            <w:vAlign w:val="center"/>
          </w:tcPr>
          <w:p>
            <w:pPr>
              <w:pStyle w:val="TableContents"/>
              <w:spacing w:before="0" w:after="0"/>
              <w:ind w:left="0" w:right="0" w:hanging="0"/>
              <w:rPr/>
            </w:pPr>
            <w:r>
              <w:rPr/>
              <w:t> </w:t>
            </w:r>
          </w:p>
        </w:tc>
        <w:tc>
          <w:tcPr>
            <w:tcW w:w="59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171,589,918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323,163,367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381,598,689</w:t>
            </w:r>
          </w:p>
        </w:tc>
        <w:tc>
          <w:tcPr>
            <w:tcW w:w="326"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60" w:hanging="0"/>
              <w:jc w:val="right"/>
              <w:rPr>
                <w:rFonts w:ascii="Times New Roman;Times;serif" w:hAnsi="Times New Roman;Times;serif"/>
                <w:sz w:val="14"/>
              </w:rPr>
            </w:pPr>
            <w:r>
              <w:rPr>
                <w:rFonts w:ascii="Times New Roman;Times;serif" w:hAnsi="Times New Roman;Times;serif"/>
                <w:sz w:val="14"/>
              </w:rPr>
              <w:t>381,598,689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Represent Series C shares of Atour Shanghai prior to Restructuring (see Note 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36" w:name="_c5c56d7c_f284_416e_8b8a_674d426e28e8"/>
      <w:bookmarkEnd w:id="436"/>
      <w:r>
        <w:rPr>
          <w:rFonts w:ascii="Times New Roman;Times;serif" w:hAnsi="Times New Roman;Times;serif"/>
          <w:b/>
          <w:sz w:val="20"/>
        </w:rPr>
        <w:t xml:space="preserve">ATOUR LIFESTYLE HOLDINGS LIMITED </w:t>
      </w:r>
    </w:p>
    <w:p>
      <w:pPr>
        <w:pStyle w:val="TextBody"/>
        <w:spacing w:before="0" w:after="200"/>
        <w:ind w:left="0" w:right="0" w:hanging="0"/>
        <w:jc w:val="center"/>
        <w:rPr>
          <w:rFonts w:ascii="Times New Roman;Times;serif" w:hAnsi="Times New Roman;Times;serif"/>
          <w:b/>
          <w:sz w:val="20"/>
        </w:rPr>
      </w:pPr>
      <w:bookmarkStart w:id="437" w:name="CONSOLIDATEDSTATEMENTSOFCHANGESINDEFICIT"/>
      <w:bookmarkEnd w:id="437"/>
      <w:r>
        <w:rPr>
          <w:rFonts w:ascii="Times New Roman;Times;serif" w:hAnsi="Times New Roman;Times;serif"/>
          <w:b/>
          <w:sz w:val="20"/>
        </w:rPr>
        <w:t>CONSOLIDATED STATEMENTS OF CHANGES IN (DEFICIT) EQUITY</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438" w:name="Tc_BEdcu1Tr7Uidj6vfMpx3eA_23_6"/>
      <w:bookmarkStart w:id="439" w:name="Tc_TVUtWP_O3ESltWABMimtFQ_23_4"/>
      <w:bookmarkStart w:id="440" w:name="Tc_AvrDPRdd20ON-QW8ZcygiQ_23_0"/>
      <w:bookmarkStart w:id="441" w:name="Tc_3qTdtwwav0i4PFLk2TIbgg_22_24"/>
      <w:bookmarkStart w:id="442" w:name="Tc_-E2gWr6DhEaZ-hDtrTIsog_22_20"/>
      <w:bookmarkStart w:id="443" w:name="Tc_nfOD-KE850ObUZ-qM9Z78A_22_18"/>
      <w:bookmarkStart w:id="444" w:name="Tc_q2DW1Jt--EKMUoAEWbo83A_22_14"/>
      <w:bookmarkStart w:id="445" w:name="Tc_7M_bxz1P-0C2TLgJvNnpEg_22_12"/>
      <w:bookmarkStart w:id="446" w:name="Tc_WV9Xz4NHSkCiNxLEQwCV-g_22_10"/>
      <w:bookmarkStart w:id="447" w:name="Tc_ivPvrQkA_0eMNc3r57uIIg_22_8"/>
      <w:bookmarkStart w:id="448" w:name="Tc_QS6G0y6TUE6rwPAOdoxu5A_22_6"/>
      <w:bookmarkStart w:id="449" w:name="Tc_se7ePAr_KE2TkR21r13I7w_22_4"/>
      <w:bookmarkStart w:id="450" w:name="Tc_N4_EfpNvfkKIAqdgT1-5gw_22_2"/>
      <w:bookmarkStart w:id="451" w:name="Tc_w9F7OWdYfUWvZgw4pcsJfg_22_0"/>
      <w:bookmarkStart w:id="452" w:name="Tc_KQDmFZ_bC0SQiySDsn2pSg_21_24"/>
      <w:bookmarkStart w:id="453" w:name="Tc_P7BeyVwlY0-pnReZ11EctA_21_20"/>
      <w:bookmarkStart w:id="454" w:name="Tc_pqbk5-VA_0eBnQi_D1pLhA_21_18"/>
      <w:bookmarkStart w:id="455" w:name="Tc_UsEexG-pW0-Kymg9bOOVLQ_21_14"/>
      <w:bookmarkStart w:id="456" w:name="Tc_gkockZ5FokWXmj_SVegp8w_21_12"/>
      <w:bookmarkStart w:id="457" w:name="Tc_RMNZguMUg0GiTscvSS9vtA_21_6"/>
      <w:bookmarkStart w:id="458" w:name="Tc_NqcweA2XRUSq6NQHWGSVrQ_21_4"/>
      <w:bookmarkStart w:id="459" w:name="Tc_cq9GB__rR0G7ggQeRv8JTg_21_2"/>
      <w:bookmarkStart w:id="460" w:name="Tc_4HTAXnDTI0-NJAzol2p2Zg_21_0"/>
      <w:bookmarkStart w:id="461" w:name="Tc_pfTZP_W460WcscqGmYDfvQ_20_24"/>
      <w:bookmarkStart w:id="462" w:name="Tc_afczvBLHi0iTjV6b9lBupw_20_20"/>
      <w:bookmarkStart w:id="463" w:name="Tc_oiPa4S2PEEaPhL81WZyG4g_20_18"/>
      <w:bookmarkStart w:id="464" w:name="Tc_6J8yD40eBkyKBJ6IRPksaw_20_14"/>
      <w:bookmarkStart w:id="465" w:name="Tc_8ipDHCoqAk6C_QUvVnAVtw_20_12"/>
      <w:bookmarkStart w:id="466" w:name="Tc_RLRshKbMjUqiqsCkFkYISA_20_6"/>
      <w:bookmarkStart w:id="467" w:name="Tc_6FcB2JWEx0iNYkZS8B1yuw_20_4"/>
      <w:bookmarkStart w:id="468" w:name="Tc_IOmTD-IXI0q3wvL-gdZ6YQ_20_2"/>
      <w:bookmarkStart w:id="469" w:name="Tc_webuDHFlgEGWawHq-engcg_20_0"/>
      <w:bookmarkStart w:id="470" w:name="Tc_bj76OBzNyEi3D3m_zlDMXw_19_26"/>
      <w:bookmarkStart w:id="471" w:name="Tc_Xlg9G1Fhh0mSToAj3U1vbg_19_24"/>
      <w:bookmarkStart w:id="472" w:name="Tc_r5KgjC0sUk6Ffqf_zQTBGQ_19_22"/>
      <w:bookmarkStart w:id="473" w:name="Tc_138OtEu6xEyUYg3B--8BVg_19_20"/>
      <w:bookmarkStart w:id="474" w:name="Tc_b4hA_T2o9U6BXhWWbR5flQ_19_18"/>
      <w:bookmarkStart w:id="475" w:name="Tc_GLTFNrINxE-UpUXgsa9csg_19_16"/>
      <w:bookmarkStart w:id="476" w:name="Tc_I88ApYU1t0y6QF4-MfHmDQ_19_14"/>
      <w:bookmarkStart w:id="477" w:name="Tc_8vZEkMmtGUyPciQJmjKA7w_19_12"/>
      <w:bookmarkStart w:id="478" w:name="Tc_15TZyc6hakahez5YVpoY_A_19_2"/>
      <w:bookmarkStart w:id="479" w:name="Tc_hZ3wR9nC2UKc0QbRKbg6_g_19_0"/>
      <w:bookmarkStart w:id="480" w:name="Tc_HXrzrhS8j0GoHSA_LcBN7Q_18_24"/>
      <w:bookmarkStart w:id="481" w:name="Tc_FsRs_W08ZE6yCHbknxE7Jw_18_20"/>
      <w:bookmarkStart w:id="482" w:name="Tc_A6CAEvq_90GdnzaUPPHltA_18_16"/>
      <w:bookmarkStart w:id="483" w:name="Tc_NZIfQa6gckmIerShK1O6ww_18_14"/>
      <w:bookmarkStart w:id="484" w:name="Tc_4oMb_UIiXUStKA9m38QuHA_18_12"/>
      <w:bookmarkStart w:id="485" w:name="Tc_3SL9MVhALE2Ig7KmzY4Dcg_18_10"/>
      <w:bookmarkStart w:id="486" w:name="Tc_bZzcrn_5s0GrneuS_wmKcg_18_8"/>
      <w:bookmarkStart w:id="487" w:name="Tc_JvMCuIp1xEC-X18vYa1bGw_18_6"/>
      <w:bookmarkStart w:id="488" w:name="Tc_XxaAQhyY3UmO3An72cSXCA_18_4"/>
      <w:bookmarkStart w:id="489" w:name="Tc_NTgo2XegpUq0edLSdgPoWg_18_2"/>
      <w:bookmarkStart w:id="490" w:name="Tc_scLevhvn6EG-nTuS2rUM_w_18_0"/>
      <w:bookmarkStart w:id="491" w:name="Tc_oSCzpfSc6EWiCsecWDN-Kw_17_16"/>
      <w:bookmarkStart w:id="492" w:name="Tc_ZMqVhmwhoUOG-hnFMmRy5g_17_14"/>
      <w:bookmarkStart w:id="493" w:name="Tc__Yq5IPjPyUOtIMhmQ3LfqA_17_12"/>
      <w:bookmarkStart w:id="494" w:name="Tc__WWGoknmUE6ooTZ9doAr_Q_17_10"/>
      <w:bookmarkStart w:id="495" w:name="Tc_kFVpBFXfZUe5br4QMjMgiA_17_8"/>
      <w:bookmarkStart w:id="496" w:name="Tc_Dug-EpeTFESmfpCYdc8pJw_17_6"/>
      <w:bookmarkStart w:id="497" w:name="Tc_MhTS4O0OCEe0s2tsWfP5AQ_17_4"/>
      <w:bookmarkStart w:id="498" w:name="Tc_UX3C9WeAGEyeNpyYejxUsw_17_0"/>
      <w:bookmarkStart w:id="499" w:name="Tc_vF9VbQQ7mESU4G8NbEF_7w_16_24"/>
      <w:bookmarkStart w:id="500" w:name="Tc_RGKBdtr__UCr72qJFaZBmw_16_18"/>
      <w:bookmarkStart w:id="501" w:name="Tc_3Syrz2FpBEOpuNSjn95nPw_16_16"/>
      <w:bookmarkStart w:id="502" w:name="Tc_S0iwbXs-ykWCH01aMdhb2Q_16_14"/>
      <w:bookmarkStart w:id="503" w:name="Tc_oiE8AqmIeUSoLVIBe0wDdg_16_12"/>
      <w:bookmarkStart w:id="504" w:name="Tc_J9gwfvrR_kSlH0BtSq9Z-g_16_10"/>
      <w:bookmarkStart w:id="505" w:name="Tc_1eahZL6jHEWxh5imYvVKEg_16_8"/>
      <w:bookmarkStart w:id="506" w:name="Tc_nbrs8RDc60qS7UWP6iM2yw_16_6"/>
      <w:bookmarkStart w:id="507" w:name="Tc__yBybL-pkkW8ea5JnpURNQ_16_4"/>
      <w:bookmarkStart w:id="508" w:name="Tc_88Zgj_yP0U-ocOwl6teO7Q_16_0"/>
      <w:bookmarkStart w:id="509" w:name="Tc_zi3pdtnYVkKn5Rr23scKSA_15_20"/>
      <w:bookmarkStart w:id="510" w:name="Tc_OfVs406xWEKhBwPhjAqvZQ_15_16"/>
      <w:bookmarkStart w:id="511" w:name="Tc_7ojB0c547Ui3uDAADaMkgg_15_14"/>
      <w:bookmarkStart w:id="512" w:name="Tc_ef6bIEyluEaUDLC69XMXNw_15_12"/>
      <w:bookmarkStart w:id="513" w:name="Tc_SfzslNDYD0SCmjjyNC4SAg_15_10"/>
      <w:bookmarkStart w:id="514" w:name="Tc_VdxAEHGRf0q7CwTmxkOuGw_15_8"/>
      <w:bookmarkStart w:id="515" w:name="Tc_4Lq_9lJV7kS4DzG2gILmow_15_6"/>
      <w:bookmarkStart w:id="516" w:name="Tc_AqhSBc14D0SI7ERo84Z5Hw_15_4"/>
      <w:bookmarkStart w:id="517" w:name="Tc_r0bMCXLyDkuS3dn33AUEeg_15_0"/>
      <w:bookmarkStart w:id="518" w:name="Tc_kDQvwiETbUW0DggfC1N08Q_14_20"/>
      <w:bookmarkStart w:id="519" w:name="Tc_rQVWrnNVaU-a43_jz37m_Q_14_16"/>
      <w:bookmarkStart w:id="520" w:name="Tc_k-QtbD8fok6k2Bo09gSuzg_14_0"/>
      <w:bookmarkStart w:id="521" w:name="Tc_Q75eh5czHUqo2xml_bbWXQ_13_24"/>
      <w:bookmarkStart w:id="522" w:name="Tc_ZrCFj8_HIEuoJ7zPh9AmRA_13_20"/>
      <w:bookmarkStart w:id="523" w:name="Tc_cD3mZm0jPkWwdkHCfSZBiQ_13_16"/>
      <w:bookmarkStart w:id="524" w:name="Tc_bP6CFpfLHkOupyc3iPfcLg_13_14"/>
      <w:bookmarkStart w:id="525" w:name="Tc_qhZIxaWfXkeNxTAM0tZdvA_13_12"/>
      <w:bookmarkStart w:id="526" w:name="Tc_HZkvRTtPJE-rWI50GC4RAg_13_10"/>
      <w:bookmarkStart w:id="527" w:name="Tc_PfPCsOcOskuWGLWmTJ3Iuw_13_8"/>
      <w:bookmarkStart w:id="528" w:name="Tc_lIcA61kdh0i1fjfAMF0Gvg_13_6"/>
      <w:bookmarkStart w:id="529" w:name="Tc_WfQZfM1qXEympPe_8PMzNg_13_4"/>
      <w:bookmarkStart w:id="530" w:name="Tc_YXs15vROikWxL8LLSryrTQ_13_2"/>
      <w:bookmarkStart w:id="531" w:name="Tc_CBSgZOWU4k6GODFDe-R-Ug_13_0"/>
      <w:bookmarkStart w:id="532" w:name="Tc_6HjAv6eghk-sY9pK2sqCQQ_12_22"/>
      <w:bookmarkStart w:id="533" w:name="Tc_hrw0seWcIkWTSyYH_9QvkA_12_20"/>
      <w:bookmarkStart w:id="534" w:name="Tc_kN23m-3ZO0eqEJV8GrXmkQ_12_18"/>
      <w:bookmarkStart w:id="535" w:name="Tc__WfT6TGNZUOKOp8Oz2Rwng_12_16"/>
      <w:bookmarkStart w:id="536" w:name="Tc_x7cBHeNEPECNaxEXBtIrug_12_14"/>
      <w:bookmarkStart w:id="537" w:name="Tc__LXEeYxiiky1_DEVJFaa_Q_12_12"/>
      <w:bookmarkStart w:id="538" w:name="Tc_4Afrr_qba0qvgUua9QzQiQ_12_10"/>
      <w:bookmarkStart w:id="539" w:name="Tc_DMlxjLMsBUK1fpXGed5BkA_12_8"/>
      <w:bookmarkStart w:id="540" w:name="Tc_wsSrS4R2JUSMpFfwWgKG7w_12_6"/>
      <w:bookmarkStart w:id="541" w:name="Tc_skD3fwcNy0CbdYnBjoM8VQ_12_4"/>
      <w:bookmarkStart w:id="542" w:name="Tc_AGXcI9eIq0Ct24vyBQRXmQ_12_0"/>
      <w:bookmarkStart w:id="543" w:name="Tc_cTiH5kfuH0iL4QaA345CNQ_11_20"/>
      <w:bookmarkStart w:id="544" w:name="Tc_NFrEd6gW30-TGWh2Dk2ShA_11_16"/>
      <w:bookmarkStart w:id="545" w:name="Tc_pdgJsK0EskKwM4L_HTfP5w_11_14"/>
      <w:bookmarkStart w:id="546" w:name="Tc_KkNSCRQWZk2A9q5wiP9Isg_11_12"/>
      <w:bookmarkStart w:id="547" w:name="Tc_tZx-wJ3xskmqTe2pdsXZRQ_11_10"/>
      <w:bookmarkStart w:id="548" w:name="Tc_SUmcOGeiw0O8_7gaKmgcKw_11_8"/>
      <w:bookmarkStart w:id="549" w:name="Tc_lymoPDO1-0OenkwGtNUO3w_11_6"/>
      <w:bookmarkStart w:id="550" w:name="Tc_bYES0aw_VEO-3FOj_a2i5w_11_4"/>
      <w:bookmarkStart w:id="551" w:name="Tc_eXu45OkEwESFDJpJcC_2jA_11_0"/>
      <w:bookmarkStart w:id="552" w:name="Tc_iCZHNfVagU2fq36Oyyd5DA_10_26"/>
      <w:bookmarkStart w:id="553" w:name="Tc_tiGh-iVbv0yihnva14Snvw_10_24"/>
      <w:bookmarkStart w:id="554" w:name="Tc_fqH6EjQvBE6fh1j2A_w2Lw_10_22"/>
      <w:bookmarkStart w:id="555" w:name="Tc_dH9CEa7x0Eq8Wx8bw3lOug_10_20"/>
      <w:bookmarkStart w:id="556" w:name="Tc_tmMphLn0JEC2zyK8l-5oQA_10_18"/>
      <w:bookmarkStart w:id="557" w:name="Tc_sw5wEueB6kKqLbH_RyGIbA_10_16"/>
      <w:bookmarkStart w:id="558" w:name="Tc_by8VPaSKo0iKUJRlyVDHlw_10_14"/>
      <w:bookmarkStart w:id="559" w:name="Tc_jFofv5doskibQsF3htI0WQ_10_12"/>
      <w:bookmarkStart w:id="560" w:name="Tc_dPmFO5bcnkWpqKrtCe__8A_10_10"/>
      <w:bookmarkStart w:id="561" w:name="Tc_2iEvF_31w06cKFSaSKBuDg_10_8"/>
      <w:bookmarkStart w:id="562" w:name="Tc_eImVdsKGbE-mfdhZxpSZaQ_10_6"/>
      <w:bookmarkStart w:id="563" w:name="Tc_pPMn4wpCDUyw_trRjLynvw_10_4"/>
      <w:bookmarkStart w:id="564" w:name="Tc_39FvyqsQm0qUqXI06TcVtg_10_0"/>
      <w:bookmarkStart w:id="565" w:name="Tc_iRRdoSZRYkCT_MDHnAD_0w_9_20"/>
      <w:bookmarkStart w:id="566" w:name="Tc_Fgmsi_1bN02RQMxu6euLig_9_16"/>
      <w:bookmarkStart w:id="567" w:name="Tc_g_pSXTlHskW7jCEE-sqwXA_9_14"/>
      <w:bookmarkStart w:id="568" w:name="Tc_vCj5udc110atsg_CVUnq6g_9_12"/>
      <w:bookmarkStart w:id="569" w:name="Tc_VuwEcnTlZ0ex2aGdxO6ZoQ_9_10"/>
      <w:bookmarkStart w:id="570" w:name="Tc_81zxQbJDKkuAEpOQhDKgHQ_9_8"/>
      <w:bookmarkStart w:id="571" w:name="Tc_ekBUPbS1_kSNYiuD0eKnPg_9_6"/>
      <w:bookmarkStart w:id="572" w:name="Tc_QL3ch3Pea0SwhZu5-4Vmmg_9_4"/>
      <w:bookmarkStart w:id="573" w:name="Tc_fobBePgwn0KJLt0xIv8dWw_9_0"/>
      <w:bookmarkStart w:id="574" w:name="Tc_PIbR2mwTaEa0OzKI_pKskg_8_20"/>
      <w:bookmarkStart w:id="575" w:name="Tc_zE8_5h3Dj0qjmc-bHXFBuw_8_16"/>
      <w:bookmarkStart w:id="576" w:name="Tc_hrB2nfi1vEWeAIiXCwEmkA_8_0"/>
      <w:bookmarkStart w:id="577" w:name="Tc_2fnjPyAhUkGIJDUJEVRBfA_7_26"/>
      <w:bookmarkStart w:id="578" w:name="Tc_JACKP9rtzUyF-SDIaFsgng_7_24"/>
      <w:bookmarkStart w:id="579" w:name="Tc_Dbe3oAv2Vku98EfoOGMNPw_7_22"/>
      <w:bookmarkStart w:id="580" w:name="Tc_eqTUfMQqsEerR4nQT1qe8g_7_20"/>
      <w:bookmarkStart w:id="581" w:name="Tc_msFyLmwjmEqaJ1QGkoSCtg_7_18"/>
      <w:bookmarkStart w:id="582" w:name="Tc_CsnnIXeaSk-TkgNNdmgTcg_7_16"/>
      <w:bookmarkStart w:id="583" w:name="Tc_gEhGc6cnREWlB_iG5ehhZQ_7_14"/>
      <w:bookmarkStart w:id="584" w:name="Tc_fJt_X7sfOECz-HseAqEJ8Q_7_12"/>
      <w:bookmarkStart w:id="585" w:name="Tc__RlDU8reG0aPUIEh5tm59w_7_10"/>
      <w:bookmarkStart w:id="586" w:name="Tc_lCGkHn8X4E-F9W5o9IiIkg_7_8"/>
      <w:bookmarkStart w:id="587" w:name="Tc_5JPAROtsRUa9S0J9RrXZAg_7_6"/>
      <w:bookmarkStart w:id="588" w:name="Tc_Te_m0f2eekCGT6vylYn7qw_7_4"/>
      <w:bookmarkStart w:id="589" w:name="Tc_u4pHoHgsjkGuu6JlFKa6RQ_6_12"/>
      <w:bookmarkStart w:id="590" w:name="Tc_vMPeF8qr-0e-_2-8r1CkRA_6_8"/>
      <w:bookmarkStart w:id="591" w:name="Tc_-i_BTeP7FEWi5YS_f3B7bw_6_4"/>
      <w:bookmarkStart w:id="592" w:name="Tc_xjGEu-WIgEOlS5aX8jRPgQ_5_26"/>
      <w:bookmarkStart w:id="593" w:name="Tc_c4fyg22DMkiTO3Ptr8VT5w_5_24"/>
      <w:bookmarkStart w:id="594" w:name="Tc_42mxZeufo0CgFQYwziZQtw_5_22"/>
      <w:bookmarkStart w:id="595" w:name="Tc_zaOHqMZhZ0iYZ1qJi6j2RA_5_20"/>
      <w:bookmarkStart w:id="596" w:name="Tc_qrlVfDhJf0-a21vegsBrWA_5_18"/>
      <w:bookmarkStart w:id="597" w:name="Tc_GpKjUXIdKkqRl7gdOQJU4w_5_16"/>
      <w:bookmarkStart w:id="598" w:name="Tc_qD535wcnL0GyrCIQ1L-LAQ_5_12"/>
      <w:bookmarkStart w:id="599" w:name="Tc_SsC9AGV7Eke3iqlABlRzoQ_5_8"/>
      <w:bookmarkStart w:id="600" w:name="Tc_4MsvUqkPrk6-murOfnzzBQ_5_4"/>
      <w:bookmarkStart w:id="601" w:name="Tc_-jhFBm-2eEC4IHxLNUHNEA_5_2"/>
      <w:bookmarkStart w:id="602" w:name="Tc_g9sGwb6lRkWVO3zXVbocEA_4_26"/>
      <w:bookmarkStart w:id="603" w:name="Tc_G0-4poQfjE2--RzkkKjT1g_4_24"/>
      <w:bookmarkStart w:id="604" w:name="Tc_ADsCEGeEdEezOdB0JxiDQg_4_22"/>
      <w:bookmarkStart w:id="605" w:name="Tc_pce2cZMTRkmzeuLT6Bp3EQ_4_20"/>
      <w:bookmarkStart w:id="606" w:name="Tc_RXBegnuQVE-F4HPGNgG3LQ_4_18"/>
      <w:bookmarkStart w:id="607" w:name="Tc_1F4uLXID1EKs2GYczvaKQg_4_16"/>
      <w:bookmarkStart w:id="608" w:name="Tc_w1oRgpKpw0qLU7LowYwPQw_4_12"/>
      <w:bookmarkStart w:id="609" w:name="Tc_yZWRY0DHYUqzg8bwf0yJhQ_4_8"/>
      <w:bookmarkStart w:id="610" w:name="Tc_mFuNyHR_4kaZO3ZegvgYsA_4_4"/>
      <w:bookmarkStart w:id="611" w:name="Tc__kUzdT4CYEWwey4cALLoHw_3_24"/>
      <w:bookmarkStart w:id="612" w:name="Tc_9U0uR-vS0kKsaYGVSuIpHw_3_22"/>
      <w:bookmarkStart w:id="613" w:name="Tc_y1pFmeyLqk2qRd993_-9fw_3_20"/>
      <w:bookmarkStart w:id="614" w:name="Tc_vyFRMWwdRkmZOAAy3O5W2w_3_16"/>
      <w:bookmarkStart w:id="615" w:name="Tc_JE8F9OggJUCkA7JnOoozwA_3_4"/>
      <w:bookmarkStart w:id="616" w:name="Tc_TMh3xX6V60ini1aIHbdEsQ_2_22"/>
      <w:bookmarkStart w:id="617" w:name="Tc_vKRDbJYWEU6T7EeUlvFlag_2_20"/>
      <w:bookmarkStart w:id="618" w:name="Tc_aVfXYo1RHky3kBhZ-_fOtQ_1_22"/>
      <w:bookmarkStart w:id="619" w:name="_401456c1_f887_40bc_909e_29c1dd85726f"/>
      <w:bookmarkStart w:id="620" w:name="Tc_BEdcu1Tr7Uidj6vfMpx3eA_23_6"/>
      <w:bookmarkStart w:id="621" w:name="Tc_TVUtWP_O3ESltWABMimtFQ_23_4"/>
      <w:bookmarkStart w:id="622" w:name="Tc_AvrDPRdd20ON-QW8ZcygiQ_23_0"/>
      <w:bookmarkStart w:id="623" w:name="Tc_3qTdtwwav0i4PFLk2TIbgg_22_24"/>
      <w:bookmarkStart w:id="624" w:name="Tc_-E2gWr6DhEaZ-hDtrTIsog_22_20"/>
      <w:bookmarkStart w:id="625" w:name="Tc_nfOD-KE850ObUZ-qM9Z78A_22_18"/>
      <w:bookmarkStart w:id="626" w:name="Tc_q2DW1Jt--EKMUoAEWbo83A_22_14"/>
      <w:bookmarkStart w:id="627" w:name="Tc_7M_bxz1P-0C2TLgJvNnpEg_22_12"/>
      <w:bookmarkStart w:id="628" w:name="Tc_WV9Xz4NHSkCiNxLEQwCV-g_22_10"/>
      <w:bookmarkStart w:id="629" w:name="Tc_ivPvrQkA_0eMNc3r57uIIg_22_8"/>
      <w:bookmarkStart w:id="630" w:name="Tc_QS6G0y6TUE6rwPAOdoxu5A_22_6"/>
      <w:bookmarkStart w:id="631" w:name="Tc_se7ePAr_KE2TkR21r13I7w_22_4"/>
      <w:bookmarkStart w:id="632" w:name="Tc_N4_EfpNvfkKIAqdgT1-5gw_22_2"/>
      <w:bookmarkStart w:id="633" w:name="Tc_w9F7OWdYfUWvZgw4pcsJfg_22_0"/>
      <w:bookmarkStart w:id="634" w:name="Tc_KQDmFZ_bC0SQiySDsn2pSg_21_24"/>
      <w:bookmarkStart w:id="635" w:name="Tc_P7BeyVwlY0-pnReZ11EctA_21_20"/>
      <w:bookmarkStart w:id="636" w:name="Tc_pqbk5-VA_0eBnQi_D1pLhA_21_18"/>
      <w:bookmarkStart w:id="637" w:name="Tc_UsEexG-pW0-Kymg9bOOVLQ_21_14"/>
      <w:bookmarkStart w:id="638" w:name="Tc_gkockZ5FokWXmj_SVegp8w_21_12"/>
      <w:bookmarkStart w:id="639" w:name="Tc_RMNZguMUg0GiTscvSS9vtA_21_6"/>
      <w:bookmarkStart w:id="640" w:name="Tc_NqcweA2XRUSq6NQHWGSVrQ_21_4"/>
      <w:bookmarkStart w:id="641" w:name="Tc_cq9GB__rR0G7ggQeRv8JTg_21_2"/>
      <w:bookmarkStart w:id="642" w:name="Tc_4HTAXnDTI0-NJAzol2p2Zg_21_0"/>
      <w:bookmarkStart w:id="643" w:name="Tc_pfTZP_W460WcscqGmYDfvQ_20_24"/>
      <w:bookmarkStart w:id="644" w:name="Tc_afczvBLHi0iTjV6b9lBupw_20_20"/>
      <w:bookmarkStart w:id="645" w:name="Tc_oiPa4S2PEEaPhL81WZyG4g_20_18"/>
      <w:bookmarkStart w:id="646" w:name="Tc_6J8yD40eBkyKBJ6IRPksaw_20_14"/>
      <w:bookmarkStart w:id="647" w:name="Tc_8ipDHCoqAk6C_QUvVnAVtw_20_12"/>
      <w:bookmarkStart w:id="648" w:name="Tc_RLRshKbMjUqiqsCkFkYISA_20_6"/>
      <w:bookmarkStart w:id="649" w:name="Tc_6FcB2JWEx0iNYkZS8B1yuw_20_4"/>
      <w:bookmarkStart w:id="650" w:name="Tc_IOmTD-IXI0q3wvL-gdZ6YQ_20_2"/>
      <w:bookmarkStart w:id="651" w:name="Tc_webuDHFlgEGWawHq-engcg_20_0"/>
      <w:bookmarkStart w:id="652" w:name="Tc_bj76OBzNyEi3D3m_zlDMXw_19_26"/>
      <w:bookmarkStart w:id="653" w:name="Tc_Xlg9G1Fhh0mSToAj3U1vbg_19_24"/>
      <w:bookmarkStart w:id="654" w:name="Tc_r5KgjC0sUk6Ffqf_zQTBGQ_19_22"/>
      <w:bookmarkStart w:id="655" w:name="Tc_138OtEu6xEyUYg3B--8BVg_19_20"/>
      <w:bookmarkStart w:id="656" w:name="Tc_b4hA_T2o9U6BXhWWbR5flQ_19_18"/>
      <w:bookmarkStart w:id="657" w:name="Tc_GLTFNrINxE-UpUXgsa9csg_19_16"/>
      <w:bookmarkStart w:id="658" w:name="Tc_I88ApYU1t0y6QF4-MfHmDQ_19_14"/>
      <w:bookmarkStart w:id="659" w:name="Tc_8vZEkMmtGUyPciQJmjKA7w_19_12"/>
      <w:bookmarkStart w:id="660" w:name="Tc_15TZyc6hakahez5YVpoY_A_19_2"/>
      <w:bookmarkStart w:id="661" w:name="Tc_hZ3wR9nC2UKc0QbRKbg6_g_19_0"/>
      <w:bookmarkStart w:id="662" w:name="Tc_HXrzrhS8j0GoHSA_LcBN7Q_18_24"/>
      <w:bookmarkStart w:id="663" w:name="Tc_FsRs_W08ZE6yCHbknxE7Jw_18_20"/>
      <w:bookmarkStart w:id="664" w:name="Tc_A6CAEvq_90GdnzaUPPHltA_18_16"/>
      <w:bookmarkStart w:id="665" w:name="Tc_NZIfQa6gckmIerShK1O6ww_18_14"/>
      <w:bookmarkStart w:id="666" w:name="Tc_4oMb_UIiXUStKA9m38QuHA_18_12"/>
      <w:bookmarkStart w:id="667" w:name="Tc_3SL9MVhALE2Ig7KmzY4Dcg_18_10"/>
      <w:bookmarkStart w:id="668" w:name="Tc_bZzcrn_5s0GrneuS_wmKcg_18_8"/>
      <w:bookmarkStart w:id="669" w:name="Tc_JvMCuIp1xEC-X18vYa1bGw_18_6"/>
      <w:bookmarkStart w:id="670" w:name="Tc_XxaAQhyY3UmO3An72cSXCA_18_4"/>
      <w:bookmarkStart w:id="671" w:name="Tc_NTgo2XegpUq0edLSdgPoWg_18_2"/>
      <w:bookmarkStart w:id="672" w:name="Tc_scLevhvn6EG-nTuS2rUM_w_18_0"/>
      <w:bookmarkStart w:id="673" w:name="Tc_oSCzpfSc6EWiCsecWDN-Kw_17_16"/>
      <w:bookmarkStart w:id="674" w:name="Tc_ZMqVhmwhoUOG-hnFMmRy5g_17_14"/>
      <w:bookmarkStart w:id="675" w:name="Tc__Yq5IPjPyUOtIMhmQ3LfqA_17_12"/>
      <w:bookmarkStart w:id="676" w:name="Tc__WWGoknmUE6ooTZ9doAr_Q_17_10"/>
      <w:bookmarkStart w:id="677" w:name="Tc_kFVpBFXfZUe5br4QMjMgiA_17_8"/>
      <w:bookmarkStart w:id="678" w:name="Tc_Dug-EpeTFESmfpCYdc8pJw_17_6"/>
      <w:bookmarkStart w:id="679" w:name="Tc_MhTS4O0OCEe0s2tsWfP5AQ_17_4"/>
      <w:bookmarkStart w:id="680" w:name="Tc_UX3C9WeAGEyeNpyYejxUsw_17_0"/>
      <w:bookmarkStart w:id="681" w:name="Tc_vF9VbQQ7mESU4G8NbEF_7w_16_24"/>
      <w:bookmarkStart w:id="682" w:name="Tc_RGKBdtr__UCr72qJFaZBmw_16_18"/>
      <w:bookmarkStart w:id="683" w:name="Tc_3Syrz2FpBEOpuNSjn95nPw_16_16"/>
      <w:bookmarkStart w:id="684" w:name="Tc_S0iwbXs-ykWCH01aMdhb2Q_16_14"/>
      <w:bookmarkStart w:id="685" w:name="Tc_oiE8AqmIeUSoLVIBe0wDdg_16_12"/>
      <w:bookmarkStart w:id="686" w:name="Tc_J9gwfvrR_kSlH0BtSq9Z-g_16_10"/>
      <w:bookmarkStart w:id="687" w:name="Tc_1eahZL6jHEWxh5imYvVKEg_16_8"/>
      <w:bookmarkStart w:id="688" w:name="Tc_nbrs8RDc60qS7UWP6iM2yw_16_6"/>
      <w:bookmarkStart w:id="689" w:name="Tc__yBybL-pkkW8ea5JnpURNQ_16_4"/>
      <w:bookmarkStart w:id="690" w:name="Tc_88Zgj_yP0U-ocOwl6teO7Q_16_0"/>
      <w:bookmarkStart w:id="691" w:name="Tc_zi3pdtnYVkKn5Rr23scKSA_15_20"/>
      <w:bookmarkStart w:id="692" w:name="Tc_OfVs406xWEKhBwPhjAqvZQ_15_16"/>
      <w:bookmarkStart w:id="693" w:name="Tc_7ojB0c547Ui3uDAADaMkgg_15_14"/>
      <w:bookmarkStart w:id="694" w:name="Tc_ef6bIEyluEaUDLC69XMXNw_15_12"/>
      <w:bookmarkStart w:id="695" w:name="Tc_SfzslNDYD0SCmjjyNC4SAg_15_10"/>
      <w:bookmarkStart w:id="696" w:name="Tc_VdxAEHGRf0q7CwTmxkOuGw_15_8"/>
      <w:bookmarkStart w:id="697" w:name="Tc_4Lq_9lJV7kS4DzG2gILmow_15_6"/>
      <w:bookmarkStart w:id="698" w:name="Tc_AqhSBc14D0SI7ERo84Z5Hw_15_4"/>
      <w:bookmarkStart w:id="699" w:name="Tc_r0bMCXLyDkuS3dn33AUEeg_15_0"/>
      <w:bookmarkStart w:id="700" w:name="Tc_kDQvwiETbUW0DggfC1N08Q_14_20"/>
      <w:bookmarkStart w:id="701" w:name="Tc_rQVWrnNVaU-a43_jz37m_Q_14_16"/>
      <w:bookmarkStart w:id="702" w:name="Tc_k-QtbD8fok6k2Bo09gSuzg_14_0"/>
      <w:bookmarkStart w:id="703" w:name="Tc_Q75eh5czHUqo2xml_bbWXQ_13_24"/>
      <w:bookmarkStart w:id="704" w:name="Tc_ZrCFj8_HIEuoJ7zPh9AmRA_13_20"/>
      <w:bookmarkStart w:id="705" w:name="Tc_cD3mZm0jPkWwdkHCfSZBiQ_13_16"/>
      <w:bookmarkStart w:id="706" w:name="Tc_bP6CFpfLHkOupyc3iPfcLg_13_14"/>
      <w:bookmarkStart w:id="707" w:name="Tc_qhZIxaWfXkeNxTAM0tZdvA_13_12"/>
      <w:bookmarkStart w:id="708" w:name="Tc_HZkvRTtPJE-rWI50GC4RAg_13_10"/>
      <w:bookmarkStart w:id="709" w:name="Tc_PfPCsOcOskuWGLWmTJ3Iuw_13_8"/>
      <w:bookmarkStart w:id="710" w:name="Tc_lIcA61kdh0i1fjfAMF0Gvg_13_6"/>
      <w:bookmarkStart w:id="711" w:name="Tc_WfQZfM1qXEympPe_8PMzNg_13_4"/>
      <w:bookmarkStart w:id="712" w:name="Tc_YXs15vROikWxL8LLSryrTQ_13_2"/>
      <w:bookmarkStart w:id="713" w:name="Tc_CBSgZOWU4k6GODFDe-R-Ug_13_0"/>
      <w:bookmarkStart w:id="714" w:name="Tc_6HjAv6eghk-sY9pK2sqCQQ_12_22"/>
      <w:bookmarkStart w:id="715" w:name="Tc_hrw0seWcIkWTSyYH_9QvkA_12_20"/>
      <w:bookmarkStart w:id="716" w:name="Tc_kN23m-3ZO0eqEJV8GrXmkQ_12_18"/>
      <w:bookmarkStart w:id="717" w:name="Tc__WfT6TGNZUOKOp8Oz2Rwng_12_16"/>
      <w:bookmarkStart w:id="718" w:name="Tc_x7cBHeNEPECNaxEXBtIrug_12_14"/>
      <w:bookmarkStart w:id="719" w:name="Tc__LXEeYxiiky1_DEVJFaa_Q_12_12"/>
      <w:bookmarkStart w:id="720" w:name="Tc_4Afrr_qba0qvgUua9QzQiQ_12_10"/>
      <w:bookmarkStart w:id="721" w:name="Tc_DMlxjLMsBUK1fpXGed5BkA_12_8"/>
      <w:bookmarkStart w:id="722" w:name="Tc_wsSrS4R2JUSMpFfwWgKG7w_12_6"/>
      <w:bookmarkStart w:id="723" w:name="Tc_skD3fwcNy0CbdYnBjoM8VQ_12_4"/>
      <w:bookmarkStart w:id="724" w:name="Tc_AGXcI9eIq0Ct24vyBQRXmQ_12_0"/>
      <w:bookmarkStart w:id="725" w:name="Tc_cTiH5kfuH0iL4QaA345CNQ_11_20"/>
      <w:bookmarkStart w:id="726" w:name="Tc_NFrEd6gW30-TGWh2Dk2ShA_11_16"/>
      <w:bookmarkStart w:id="727" w:name="Tc_pdgJsK0EskKwM4L_HTfP5w_11_14"/>
      <w:bookmarkStart w:id="728" w:name="Tc_KkNSCRQWZk2A9q5wiP9Isg_11_12"/>
      <w:bookmarkStart w:id="729" w:name="Tc_tZx-wJ3xskmqTe2pdsXZRQ_11_10"/>
      <w:bookmarkStart w:id="730" w:name="Tc_SUmcOGeiw0O8_7gaKmgcKw_11_8"/>
      <w:bookmarkStart w:id="731" w:name="Tc_lymoPDO1-0OenkwGtNUO3w_11_6"/>
      <w:bookmarkStart w:id="732" w:name="Tc_bYES0aw_VEO-3FOj_a2i5w_11_4"/>
      <w:bookmarkStart w:id="733" w:name="Tc_eXu45OkEwESFDJpJcC_2jA_11_0"/>
      <w:bookmarkStart w:id="734" w:name="Tc_iCZHNfVagU2fq36Oyyd5DA_10_26"/>
      <w:bookmarkStart w:id="735" w:name="Tc_tiGh-iVbv0yihnva14Snvw_10_24"/>
      <w:bookmarkStart w:id="736" w:name="Tc_fqH6EjQvBE6fh1j2A_w2Lw_10_22"/>
      <w:bookmarkStart w:id="737" w:name="Tc_dH9CEa7x0Eq8Wx8bw3lOug_10_20"/>
      <w:bookmarkStart w:id="738" w:name="Tc_tmMphLn0JEC2zyK8l-5oQA_10_18"/>
      <w:bookmarkStart w:id="739" w:name="Tc_sw5wEueB6kKqLbH_RyGIbA_10_16"/>
      <w:bookmarkStart w:id="740" w:name="Tc_by8VPaSKo0iKUJRlyVDHlw_10_14"/>
      <w:bookmarkStart w:id="741" w:name="Tc_jFofv5doskibQsF3htI0WQ_10_12"/>
      <w:bookmarkStart w:id="742" w:name="Tc_dPmFO5bcnkWpqKrtCe__8A_10_10"/>
      <w:bookmarkStart w:id="743" w:name="Tc_2iEvF_31w06cKFSaSKBuDg_10_8"/>
      <w:bookmarkStart w:id="744" w:name="Tc_eImVdsKGbE-mfdhZxpSZaQ_10_6"/>
      <w:bookmarkStart w:id="745" w:name="Tc_pPMn4wpCDUyw_trRjLynvw_10_4"/>
      <w:bookmarkStart w:id="746" w:name="Tc_39FvyqsQm0qUqXI06TcVtg_10_0"/>
      <w:bookmarkStart w:id="747" w:name="Tc_iRRdoSZRYkCT_MDHnAD_0w_9_20"/>
      <w:bookmarkStart w:id="748" w:name="Tc_Fgmsi_1bN02RQMxu6euLig_9_16"/>
      <w:bookmarkStart w:id="749" w:name="Tc_g_pSXTlHskW7jCEE-sqwXA_9_14"/>
      <w:bookmarkStart w:id="750" w:name="Tc_vCj5udc110atsg_CVUnq6g_9_12"/>
      <w:bookmarkStart w:id="751" w:name="Tc_VuwEcnTlZ0ex2aGdxO6ZoQ_9_10"/>
      <w:bookmarkStart w:id="752" w:name="Tc_81zxQbJDKkuAEpOQhDKgHQ_9_8"/>
      <w:bookmarkStart w:id="753" w:name="Tc_ekBUPbS1_kSNYiuD0eKnPg_9_6"/>
      <w:bookmarkStart w:id="754" w:name="Tc_QL3ch3Pea0SwhZu5-4Vmmg_9_4"/>
      <w:bookmarkStart w:id="755" w:name="Tc_fobBePgwn0KJLt0xIv8dWw_9_0"/>
      <w:bookmarkStart w:id="756" w:name="Tc_PIbR2mwTaEa0OzKI_pKskg_8_20"/>
      <w:bookmarkStart w:id="757" w:name="Tc_zE8_5h3Dj0qjmc-bHXFBuw_8_16"/>
      <w:bookmarkStart w:id="758" w:name="Tc_hrB2nfi1vEWeAIiXCwEmkA_8_0"/>
      <w:bookmarkStart w:id="759" w:name="Tc_2fnjPyAhUkGIJDUJEVRBfA_7_26"/>
      <w:bookmarkStart w:id="760" w:name="Tc_JACKP9rtzUyF-SDIaFsgng_7_24"/>
      <w:bookmarkStart w:id="761" w:name="Tc_Dbe3oAv2Vku98EfoOGMNPw_7_22"/>
      <w:bookmarkStart w:id="762" w:name="Tc_eqTUfMQqsEerR4nQT1qe8g_7_20"/>
      <w:bookmarkStart w:id="763" w:name="Tc_msFyLmwjmEqaJ1QGkoSCtg_7_18"/>
      <w:bookmarkStart w:id="764" w:name="Tc_CsnnIXeaSk-TkgNNdmgTcg_7_16"/>
      <w:bookmarkStart w:id="765" w:name="Tc_gEhGc6cnREWlB_iG5ehhZQ_7_14"/>
      <w:bookmarkStart w:id="766" w:name="Tc_fJt_X7sfOECz-HseAqEJ8Q_7_12"/>
      <w:bookmarkStart w:id="767" w:name="Tc__RlDU8reG0aPUIEh5tm59w_7_10"/>
      <w:bookmarkStart w:id="768" w:name="Tc_lCGkHn8X4E-F9W5o9IiIkg_7_8"/>
      <w:bookmarkStart w:id="769" w:name="Tc_5JPAROtsRUa9S0J9RrXZAg_7_6"/>
      <w:bookmarkStart w:id="770" w:name="Tc_Te_m0f2eekCGT6vylYn7qw_7_4"/>
      <w:bookmarkStart w:id="771" w:name="Tc_u4pHoHgsjkGuu6JlFKa6RQ_6_12"/>
      <w:bookmarkStart w:id="772" w:name="Tc_vMPeF8qr-0e-_2-8r1CkRA_6_8"/>
      <w:bookmarkStart w:id="773" w:name="Tc_-i_BTeP7FEWi5YS_f3B7bw_6_4"/>
      <w:bookmarkStart w:id="774" w:name="Tc_xjGEu-WIgEOlS5aX8jRPgQ_5_26"/>
      <w:bookmarkStart w:id="775" w:name="Tc_c4fyg22DMkiTO3Ptr8VT5w_5_24"/>
      <w:bookmarkStart w:id="776" w:name="Tc_42mxZeufo0CgFQYwziZQtw_5_22"/>
      <w:bookmarkStart w:id="777" w:name="Tc_zaOHqMZhZ0iYZ1qJi6j2RA_5_20"/>
      <w:bookmarkStart w:id="778" w:name="Tc_qrlVfDhJf0-a21vegsBrWA_5_18"/>
      <w:bookmarkStart w:id="779" w:name="Tc_GpKjUXIdKkqRl7gdOQJU4w_5_16"/>
      <w:bookmarkStart w:id="780" w:name="Tc_qD535wcnL0GyrCIQ1L-LAQ_5_12"/>
      <w:bookmarkStart w:id="781" w:name="Tc_SsC9AGV7Eke3iqlABlRzoQ_5_8"/>
      <w:bookmarkStart w:id="782" w:name="Tc_4MsvUqkPrk6-murOfnzzBQ_5_4"/>
      <w:bookmarkStart w:id="783" w:name="Tc_-jhFBm-2eEC4IHxLNUHNEA_5_2"/>
      <w:bookmarkStart w:id="784" w:name="Tc_g9sGwb6lRkWVO3zXVbocEA_4_26"/>
      <w:bookmarkStart w:id="785" w:name="Tc_G0-4poQfjE2--RzkkKjT1g_4_24"/>
      <w:bookmarkStart w:id="786" w:name="Tc_ADsCEGeEdEezOdB0JxiDQg_4_22"/>
      <w:bookmarkStart w:id="787" w:name="Tc_pce2cZMTRkmzeuLT6Bp3EQ_4_20"/>
      <w:bookmarkStart w:id="788" w:name="Tc_RXBegnuQVE-F4HPGNgG3LQ_4_18"/>
      <w:bookmarkStart w:id="789" w:name="Tc_1F4uLXID1EKs2GYczvaKQg_4_16"/>
      <w:bookmarkStart w:id="790" w:name="Tc_w1oRgpKpw0qLU7LowYwPQw_4_12"/>
      <w:bookmarkStart w:id="791" w:name="Tc_yZWRY0DHYUqzg8bwf0yJhQ_4_8"/>
      <w:bookmarkStart w:id="792" w:name="Tc_mFuNyHR_4kaZO3ZegvgYsA_4_4"/>
      <w:bookmarkStart w:id="793" w:name="Tc__kUzdT4CYEWwey4cALLoHw_3_24"/>
      <w:bookmarkStart w:id="794" w:name="Tc_9U0uR-vS0kKsaYGVSuIpHw_3_22"/>
      <w:bookmarkStart w:id="795" w:name="Tc_y1pFmeyLqk2qRd993_-9fw_3_20"/>
      <w:bookmarkStart w:id="796" w:name="Tc_vyFRMWwdRkmZOAAy3O5W2w_3_16"/>
      <w:bookmarkStart w:id="797" w:name="Tc_JE8F9OggJUCkA7JnOoozwA_3_4"/>
      <w:bookmarkStart w:id="798" w:name="Tc_TMh3xX6V60ini1aIHbdEsQ_2_22"/>
      <w:bookmarkStart w:id="799" w:name="Tc_vKRDbJYWEU6T7EeUlvFlag_2_20"/>
      <w:bookmarkStart w:id="800" w:name="Tc_aVfXYo1RHky3kBhZ-_fOtQ_1_22"/>
      <w:bookmarkStart w:id="801" w:name="_401456c1_f887_40bc_909e_29c1dd85726f"/>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tbl>
      <w:tblPr>
        <w:tblW w:w="13297" w:type="dxa"/>
        <w:jc w:val="left"/>
        <w:tblInd w:w="0" w:type="dxa"/>
        <w:tblCellMar>
          <w:top w:w="0" w:type="dxa"/>
          <w:left w:w="0" w:type="dxa"/>
          <w:bottom w:w="0" w:type="dxa"/>
          <w:right w:w="0" w:type="dxa"/>
        </w:tblCellMar>
      </w:tblPr>
      <w:tblGrid>
        <w:gridCol w:w="901"/>
        <w:gridCol w:w="326"/>
        <w:gridCol w:w="361"/>
        <w:gridCol w:w="326"/>
        <w:gridCol w:w="691"/>
        <w:gridCol w:w="326"/>
        <w:gridCol w:w="436"/>
        <w:gridCol w:w="326"/>
        <w:gridCol w:w="706"/>
        <w:gridCol w:w="326"/>
        <w:gridCol w:w="436"/>
        <w:gridCol w:w="326"/>
        <w:gridCol w:w="676"/>
        <w:gridCol w:w="326"/>
        <w:gridCol w:w="436"/>
        <w:gridCol w:w="326"/>
        <w:gridCol w:w="631"/>
        <w:gridCol w:w="326"/>
        <w:gridCol w:w="796"/>
        <w:gridCol w:w="326"/>
        <w:gridCol w:w="886"/>
        <w:gridCol w:w="326"/>
        <w:gridCol w:w="856"/>
        <w:gridCol w:w="326"/>
        <w:gridCol w:w="661"/>
        <w:gridCol w:w="326"/>
        <w:gridCol w:w="586"/>
      </w:tblGrid>
      <w:tr>
        <w:trPr/>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72135" cy="175260"/>
                      <wp:effectExtent l="0" t="0" r="0" b="0"/>
                      <wp:wrapNone/>
                      <wp:docPr id="296" name="Frame28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29235" cy="175260"/>
                      <wp:effectExtent l="0" t="0" r="0" b="0"/>
                      <wp:wrapNone/>
                      <wp:docPr id="298" name="Frame29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38785" cy="175260"/>
                      <wp:effectExtent l="0" t="0" r="0" b="0"/>
                      <wp:wrapNone/>
                      <wp:docPr id="300" name="Frame29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2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76860" cy="175260"/>
                      <wp:effectExtent l="0" t="0" r="0" b="0"/>
                      <wp:wrapNone/>
                      <wp:docPr id="302" name="Frame294"/>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48310" cy="175260"/>
                      <wp:effectExtent l="0" t="0" r="0" b="0"/>
                      <wp:wrapNone/>
                      <wp:docPr id="304" name="Frame296"/>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76860" cy="175260"/>
                      <wp:effectExtent l="0" t="0" r="0" b="0"/>
                      <wp:wrapNone/>
                      <wp:docPr id="306" name="Frame298"/>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29260" cy="175260"/>
                      <wp:effectExtent l="0" t="0" r="0" b="0"/>
                      <wp:wrapNone/>
                      <wp:docPr id="308" name="Frame30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76860" cy="175260"/>
                      <wp:effectExtent l="0" t="0" r="0" b="0"/>
                      <wp:wrapNone/>
                      <wp:docPr id="310" name="Frame302"/>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00685" cy="175260"/>
                      <wp:effectExtent l="0" t="0" r="0" b="0"/>
                      <wp:wrapNone/>
                      <wp:docPr id="312" name="Frame304"/>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05460" cy="175260"/>
                      <wp:effectExtent l="0" t="0" r="0" b="0"/>
                      <wp:wrapNone/>
                      <wp:docPr id="314" name="Frame30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62610" cy="175260"/>
                      <wp:effectExtent l="0" t="0" r="0" b="0"/>
                      <wp:wrapNone/>
                      <wp:docPr id="316" name="Frame30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43560" cy="175260"/>
                      <wp:effectExtent l="0" t="0" r="0" b="0"/>
                      <wp:wrapNone/>
                      <wp:docPr id="318" name="Frame31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19735" cy="175260"/>
                      <wp:effectExtent l="0" t="0" r="0" b="0"/>
                      <wp:wrapNone/>
                      <wp:docPr id="320" name="Frame312"/>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72110" cy="175260"/>
                      <wp:effectExtent l="0" t="0" r="0" b="0"/>
                      <wp:wrapNone/>
                      <wp:docPr id="322" name="Frame314"/>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6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Total (deficit)</w:t>
            </w:r>
          </w:p>
        </w:tc>
        <w:tc>
          <w:tcPr>
            <w:tcW w:w="326" w:type="dxa"/>
            <w:tcBorders/>
            <w:shd w:fill="auto" w:val="clear"/>
            <w:vAlign w:val="center"/>
          </w:tcPr>
          <w:p>
            <w:pPr>
              <w:pStyle w:val="TableContents"/>
              <w:spacing w:before="0" w:after="1"/>
              <w:ind w:left="0" w:right="0" w:hanging="0"/>
              <w:jc w:val="center"/>
              <w:rPr/>
            </w:pPr>
            <w:r>
              <w:rPr/>
              <w:t>    </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shd w:fill="auto" w:val="clear"/>
            <w:vAlign w:val="center"/>
          </w:tcPr>
          <w:p>
            <w:pPr>
              <w:pStyle w:val="TableContents"/>
              <w:spacing w:before="0" w:after="1"/>
              <w:ind w:left="0" w:right="0" w:hanging="0"/>
              <w:jc w:val="center"/>
              <w:rPr/>
            </w:pPr>
            <w:r>
              <w:rPr/>
              <w:t>​</w: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 ordinary</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attributable to</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Non-</w:t>
            </w:r>
          </w:p>
        </w:tc>
        <w:tc>
          <w:tcPr>
            <w:tcW w:w="32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 with liquidation</w:t>
            </w:r>
          </w:p>
        </w:tc>
        <w:tc>
          <w:tcPr>
            <w:tcW w:w="326" w:type="dxa"/>
            <w:tcBorders/>
            <w:shd w:fill="auto" w:val="clear"/>
            <w:vAlign w:val="center"/>
          </w:tcPr>
          <w:p>
            <w:pPr>
              <w:pStyle w:val="TableContents"/>
              <w:spacing w:before="0" w:after="1"/>
              <w:ind w:left="0" w:right="0" w:hanging="0"/>
              <w:jc w:val="center"/>
              <w:rPr/>
            </w:pPr>
            <w:r>
              <w:rPr/>
              <w:t>​</w:t>
            </w:r>
          </w:p>
        </w:tc>
        <w:tc>
          <w:tcPr>
            <w:tcW w:w="146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 ordinary</w:t>
            </w:r>
          </w:p>
        </w:tc>
        <w:tc>
          <w:tcPr>
            <w:tcW w:w="326" w:type="dxa"/>
            <w:tcBorders/>
            <w:shd w:fill="auto" w:val="clear"/>
            <w:vAlign w:val="center"/>
          </w:tcPr>
          <w:p>
            <w:pPr>
              <w:pStyle w:val="TableContents"/>
              <w:spacing w:before="0" w:after="1"/>
              <w:ind w:left="0" w:right="0" w:hanging="0"/>
              <w:jc w:val="center"/>
              <w:rPr/>
            </w:pPr>
            <w:r>
              <w:rPr/>
              <w:t>​</w:t>
            </w:r>
          </w:p>
        </w:tc>
        <w:tc>
          <w:tcPr>
            <w:tcW w:w="143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 ordinary</w:t>
            </w:r>
          </w:p>
        </w:tc>
        <w:tc>
          <w:tcPr>
            <w:tcW w:w="326" w:type="dxa"/>
            <w:tcBorders/>
            <w:shd w:fill="auto" w:val="clear"/>
            <w:vAlign w:val="center"/>
          </w:tcPr>
          <w:p>
            <w:pPr>
              <w:pStyle w:val="TableContents"/>
              <w:spacing w:before="0" w:after="1"/>
              <w:ind w:left="0" w:right="0" w:hanging="0"/>
              <w:jc w:val="center"/>
              <w:rPr/>
            </w:pPr>
            <w:r>
              <w:rPr/>
              <w:t>​</w:t>
            </w:r>
          </w:p>
        </w:tc>
        <w:tc>
          <w:tcPr>
            <w:tcW w:w="63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 shareholders</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controlling</w:t>
            </w:r>
          </w:p>
        </w:tc>
        <w:tc>
          <w:tcPr>
            <w:tcW w:w="32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26" w:type="dxa"/>
            <w:tcBorders/>
            <w:shd w:fill="auto" w:val="clear"/>
            <w:vAlign w:val="center"/>
          </w:tcPr>
          <w:p>
            <w:pPr>
              <w:pStyle w:val="TableContents"/>
              <w:spacing w:before="0" w:after="1"/>
              <w:ind w:left="0" w:right="0" w:hanging="0"/>
              <w:jc w:val="center"/>
              <w:rPr/>
            </w:pPr>
            <w:r>
              <w:rPr/>
              <w:t>​</w:t>
            </w:r>
          </w:p>
        </w:tc>
        <w:tc>
          <w:tcPr>
            <w:tcW w:w="14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preference</w:t>
            </w:r>
          </w:p>
        </w:tc>
        <w:tc>
          <w:tcPr>
            <w:tcW w:w="326" w:type="dxa"/>
            <w:tcBorders/>
            <w:shd w:fill="auto" w:val="clear"/>
            <w:vAlign w:val="center"/>
          </w:tcPr>
          <w:p>
            <w:pPr>
              <w:pStyle w:val="TableContents"/>
              <w:spacing w:before="0" w:after="1"/>
              <w:ind w:left="0" w:right="0" w:hanging="0"/>
              <w:jc w:val="center"/>
              <w:rPr/>
            </w:pPr>
            <w:r>
              <w:rPr/>
              <w:t>​</w:t>
            </w:r>
          </w:p>
        </w:tc>
        <w:tc>
          <w:tcPr>
            <w:tcW w:w="146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143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of the Company</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interests</w:t>
            </w:r>
          </w:p>
        </w:tc>
        <w:tc>
          <w:tcPr>
            <w:tcW w:w="326" w:type="dxa"/>
            <w:tcBorders/>
            <w:shd w:fill="auto" w:val="clear"/>
            <w:vAlign w:val="center"/>
          </w:tcPr>
          <w:p>
            <w:pPr>
              <w:pStyle w:val="TableContents"/>
              <w:spacing w:before="0" w:after="1"/>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 equity</w: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86" w:type="dxa"/>
            <w:tcBorders/>
            <w:shd w:fill="auto" w:val="clear"/>
            <w:vAlign w:val="center"/>
          </w:tcPr>
          <w:p>
            <w:pPr>
              <w:pStyle w:val="TableContents"/>
              <w:spacing w:before="0" w:after="1"/>
              <w:ind w:left="0" w:right="0" w:hanging="0"/>
              <w:jc w:val="center"/>
              <w:rPr/>
            </w:pPr>
            <w:r>
              <w:rPr/>
              <w:t>​</w:t>
            </w:r>
          </w:p>
        </w:tc>
      </w:tr>
      <w:tr>
        <w:trPr/>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1"/>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2"/>
              </w:rPr>
            </w:pPr>
            <w:r>
              <w:rPr>
                <w:rFonts w:ascii="Times New Roman;Times;serif" w:hAnsi="Times New Roman;Times;serif"/>
                <w:b/>
                <w:sz w:val="12"/>
              </w:rPr>
              <w:t>RMB’000</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Balances at January 1, 2020</w:t>
            </w:r>
          </w:p>
        </w:tc>
        <w:tc>
          <w:tcPr>
            <w:tcW w:w="326" w:type="dxa"/>
            <w:tcBorders/>
            <w:shd w:fill="CCEEFF" w:val="clear"/>
            <w:vAlign w:val="center"/>
          </w:tcPr>
          <w:p>
            <w:pPr>
              <w:pStyle w:val="TableContents"/>
              <w:spacing w:before="0" w:after="1"/>
              <w:ind w:left="0" w:right="0" w:hanging="0"/>
              <w:rPr/>
            </w:pPr>
            <w:r>
              <w:rPr/>
              <w:t> </w:t>
            </w:r>
          </w:p>
        </w:tc>
        <w:tc>
          <w:tcPr>
            <w:tcW w:w="36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60,912,400</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43</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97,909,001</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74</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73,680,917</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56</w:t>
            </w:r>
          </w:p>
        </w:tc>
        <w:tc>
          <w:tcPr>
            <w:tcW w:w="326"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(295,512)</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(295,339)</w:t>
            </w:r>
          </w:p>
        </w:tc>
        <w:tc>
          <w:tcPr>
            <w:tcW w:w="32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(4,418)</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(299,757)</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Profit (loss) for the year</w:t>
            </w:r>
          </w:p>
        </w:tc>
        <w:tc>
          <w:tcPr>
            <w:tcW w:w="326" w:type="dxa"/>
            <w:tcBorders/>
            <w:shd w:fill="auto" w:val="clear"/>
            <w:vAlign w:val="center"/>
          </w:tcPr>
          <w:p>
            <w:pPr>
              <w:pStyle w:val="TableContents"/>
              <w:spacing w:before="0" w:after="1"/>
              <w:ind w:left="0" w:right="0" w:hanging="0"/>
              <w:rPr/>
            </w:pPr>
            <w:r>
              <w:rPr/>
              <w:t> </w:t>
            </w:r>
          </w:p>
        </w:tc>
        <w:tc>
          <w:tcPr>
            <w:tcW w:w="3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42,051</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42,051</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(4,229)</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37,822</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Other comprehensive income</w:t>
            </w:r>
          </w:p>
        </w:tc>
        <w:tc>
          <w:tcPr>
            <w:tcW w:w="326" w:type="dxa"/>
            <w:tcBorders/>
            <w:shd w:fill="CCEEFF" w:val="clear"/>
            <w:vAlign w:val="center"/>
          </w:tcPr>
          <w:p>
            <w:pPr>
              <w:pStyle w:val="TableContents"/>
              <w:spacing w:before="0" w:after="1"/>
              <w:ind w:left="0" w:right="0" w:hanging="0"/>
              <w:rPr/>
            </w:pPr>
            <w:r>
              <w:rPr/>
              <w:t> </w:t>
            </w:r>
          </w:p>
        </w:tc>
        <w:tc>
          <w:tcPr>
            <w:tcW w:w="36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Total comprehensive income (loss)</w:t>
            </w:r>
          </w:p>
        </w:tc>
        <w:tc>
          <w:tcPr>
            <w:tcW w:w="326" w:type="dxa"/>
            <w:tcBorders/>
            <w:shd w:fill="auto" w:val="clear"/>
            <w:vAlign w:val="center"/>
          </w:tcPr>
          <w:p>
            <w:pPr>
              <w:pStyle w:val="TableContents"/>
              <w:spacing w:before="0" w:after="1"/>
              <w:ind w:left="0" w:right="0" w:hanging="0"/>
              <w:rPr/>
            </w:pPr>
            <w:r>
              <w:rPr/>
              <w:t> </w:t>
            </w:r>
          </w:p>
        </w:tc>
        <w:tc>
          <w:tcPr>
            <w:tcW w:w="36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42,051</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42,051</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(4,229)</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37,822</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 xml:space="preserve">Acquisition of non-controlling interest </w:t>
            </w:r>
          </w:p>
        </w:tc>
        <w:tc>
          <w:tcPr>
            <w:tcW w:w="326" w:type="dxa"/>
            <w:tcBorders/>
            <w:shd w:fill="CCEEFF" w:val="clear"/>
            <w:vAlign w:val="center"/>
          </w:tcPr>
          <w:p>
            <w:pPr>
              <w:pStyle w:val="TableContents"/>
              <w:spacing w:before="0" w:after="1"/>
              <w:ind w:left="0" w:right="0" w:hanging="0"/>
              <w:rPr/>
            </w:pPr>
            <w:r>
              <w:rPr/>
              <w:t> </w:t>
            </w:r>
          </w:p>
        </w:tc>
        <w:tc>
          <w:tcPr>
            <w:tcW w:w="36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(780)</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(780)</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Accretion to the redemption value of redeemable Class A ordinary shares</w:t>
            </w:r>
          </w:p>
        </w:tc>
        <w:tc>
          <w:tcPr>
            <w:tcW w:w="326" w:type="dxa"/>
            <w:tcBorders/>
            <w:shd w:fill="auto" w:val="clear"/>
            <w:vAlign w:val="center"/>
          </w:tcPr>
          <w:p>
            <w:pPr>
              <w:pStyle w:val="TableContents"/>
              <w:spacing w:before="0" w:after="1"/>
              <w:ind w:left="0" w:right="0" w:hanging="0"/>
              <w:rPr/>
            </w:pPr>
            <w:r>
              <w:rPr/>
              <w:t> </w:t>
            </w:r>
          </w:p>
        </w:tc>
        <w:tc>
          <w:tcPr>
            <w:tcW w:w="361" w:type="dxa"/>
            <w:tcBorders/>
            <w:shd w:fill="auto" w:val="clear"/>
            <w:vAlign w:val="center"/>
          </w:tcPr>
          <w:p>
            <w:pPr>
              <w:pStyle w:val="TableContents"/>
              <w:spacing w:before="0" w:after="1"/>
              <w:ind w:left="0" w:right="0" w:hanging="0"/>
              <w:jc w:val="center"/>
              <w:rPr>
                <w:rFonts w:ascii="Times New Roman;Times;serif" w:hAnsi="Times New Roman;Times;serif"/>
                <w:sz w:val="12"/>
              </w:rPr>
            </w:pPr>
            <w:r>
              <w:rPr>
                <w:rFonts w:ascii="Times New Roman;Times;serif" w:hAnsi="Times New Roman;Times;serif"/>
                <w:sz w:val="12"/>
              </w:rPr>
              <w:t>12</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(52,881)</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(52,881)</w:t>
            </w:r>
          </w:p>
        </w:tc>
        <w:tc>
          <w:tcPr>
            <w:tcW w:w="326" w:type="dxa"/>
            <w:tcBorders/>
            <w:shd w:fill="auto" w:val="clear"/>
            <w:vAlign w:val="center"/>
          </w:tcPr>
          <w:p>
            <w:pPr>
              <w:pStyle w:val="TableContents"/>
              <w:spacing w:before="0" w:after="1"/>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(52,881)</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Balances at December 31, 2020 and January 1, 2021</w:t>
            </w:r>
          </w:p>
        </w:tc>
        <w:tc>
          <w:tcPr>
            <w:tcW w:w="326" w:type="dxa"/>
            <w:tcBorders/>
            <w:shd w:fill="CCEEFF" w:val="clear"/>
            <w:vAlign w:val="center"/>
          </w:tcPr>
          <w:p>
            <w:pPr>
              <w:pStyle w:val="TableContents"/>
              <w:spacing w:before="0" w:after="1"/>
              <w:ind w:left="0" w:right="0" w:hanging="0"/>
              <w:rPr/>
            </w:pPr>
            <w:r>
              <w:rPr/>
              <w:t> </w:t>
            </w:r>
          </w:p>
        </w:tc>
        <w:tc>
          <w:tcPr>
            <w:tcW w:w="36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60,912,400</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43</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97,909,001</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74</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73,680,917</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56</w:t>
            </w:r>
          </w:p>
        </w:tc>
        <w:tc>
          <w:tcPr>
            <w:tcW w:w="326" w:type="dxa"/>
            <w:tcBorders/>
            <w:shd w:fill="CCEEFF" w:val="clear"/>
            <w:vAlign w:val="center"/>
          </w:tcPr>
          <w:p>
            <w:pPr>
              <w:pStyle w:val="TableContents"/>
              <w:spacing w:before="0" w:after="1"/>
              <w:ind w:left="0" w:right="0" w:hanging="0"/>
              <w:rPr/>
            </w:pPr>
            <w:r>
              <w:rPr/>
              <w:t> </w:t>
            </w:r>
          </w:p>
        </w:tc>
        <w:tc>
          <w:tcPr>
            <w:tcW w:w="63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(306,342)</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(306,169)</w:t>
            </w:r>
          </w:p>
        </w:tc>
        <w:tc>
          <w:tcPr>
            <w:tcW w:w="326" w:type="dxa"/>
            <w:tcBorders/>
            <w:shd w:fill="CCEEFF" w:val="clear"/>
            <w:vAlign w:val="center"/>
          </w:tcPr>
          <w:p>
            <w:pPr>
              <w:pStyle w:val="TableContents"/>
              <w:spacing w:before="0" w:after="1"/>
              <w:ind w:left="0" w:right="0" w:hanging="0"/>
              <w:rPr/>
            </w:pPr>
            <w:r>
              <w:rPr/>
              <w:t> </w:t>
            </w:r>
          </w:p>
        </w:tc>
        <w:tc>
          <w:tcPr>
            <w:tcW w:w="6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(9,427)</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(315,596)</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Profit (loss) for the year</w:t>
            </w:r>
          </w:p>
        </w:tc>
        <w:tc>
          <w:tcPr>
            <w:tcW w:w="326" w:type="dxa"/>
            <w:tcBorders/>
            <w:shd w:fill="auto" w:val="clear"/>
            <w:vAlign w:val="center"/>
          </w:tcPr>
          <w:p>
            <w:pPr>
              <w:pStyle w:val="TableContents"/>
              <w:spacing w:before="0" w:after="1"/>
              <w:ind w:left="0" w:right="0" w:hanging="0"/>
              <w:rPr/>
            </w:pPr>
            <w:r>
              <w:rPr/>
              <w:t> </w:t>
            </w:r>
          </w:p>
        </w:tc>
        <w:tc>
          <w:tcPr>
            <w:tcW w:w="3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145,054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145,054</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(5,384)</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139,670</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Other comprehensive loss</w:t>
            </w:r>
          </w:p>
        </w:tc>
        <w:tc>
          <w:tcPr>
            <w:tcW w:w="326" w:type="dxa"/>
            <w:tcBorders/>
            <w:shd w:fill="CCEEFF" w:val="clear"/>
            <w:vAlign w:val="center"/>
          </w:tcPr>
          <w:p>
            <w:pPr>
              <w:pStyle w:val="TableContents"/>
              <w:spacing w:before="0" w:after="1"/>
              <w:ind w:left="0" w:right="0" w:hanging="0"/>
              <w:rPr/>
            </w:pPr>
            <w:r>
              <w:rPr/>
              <w:t> </w:t>
            </w:r>
          </w:p>
        </w:tc>
        <w:tc>
          <w:tcPr>
            <w:tcW w:w="36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(8,947)</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(8,947)</w:t>
            </w:r>
          </w:p>
        </w:tc>
        <w:tc>
          <w:tcPr>
            <w:tcW w:w="326" w:type="dxa"/>
            <w:tcBorders/>
            <w:shd w:fill="CCEEFF" w:val="clear"/>
            <w:vAlign w:val="center"/>
          </w:tcPr>
          <w:p>
            <w:pPr>
              <w:pStyle w:val="TableContents"/>
              <w:spacing w:before="0" w:after="1"/>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(8,947)</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Total comprehensive income (loss)</w:t>
            </w:r>
          </w:p>
        </w:tc>
        <w:tc>
          <w:tcPr>
            <w:tcW w:w="326" w:type="dxa"/>
            <w:tcBorders/>
            <w:shd w:fill="auto" w:val="clear"/>
            <w:vAlign w:val="center"/>
          </w:tcPr>
          <w:p>
            <w:pPr>
              <w:pStyle w:val="TableContents"/>
              <w:spacing w:before="0" w:after="1"/>
              <w:ind w:left="0" w:right="0" w:hanging="0"/>
              <w:rPr/>
            </w:pPr>
            <w:r>
              <w:rPr/>
              <w:t> </w:t>
            </w:r>
          </w:p>
        </w:tc>
        <w:tc>
          <w:tcPr>
            <w:tcW w:w="3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145,054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(8,947)</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b w:val="false"/>
                <w:i w:val="false"/>
                <w:caps w:val="false"/>
                <w:smallCaps w:val="false"/>
                <w:sz w:val="12"/>
              </w:rPr>
            </w:pPr>
            <w:r>
              <w:rPr>
                <w:rFonts w:ascii="Times New Roman;Times;serif" w:hAnsi="Times New Roman;Times;serif"/>
                <w:b w:val="false"/>
                <w:i w:val="false"/>
                <w:caps w:val="false"/>
                <w:smallCaps w:val="false"/>
                <w:sz w:val="12"/>
              </w:rPr>
              <w:t>136,107‬</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(5,384)</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130,723</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Accretion to the redemption value of redeemable Class A ordinary shares</w:t>
            </w:r>
          </w:p>
        </w:tc>
        <w:tc>
          <w:tcPr>
            <w:tcW w:w="326" w:type="dxa"/>
            <w:tcBorders/>
            <w:shd w:fill="CCEEFF" w:val="clear"/>
            <w:vAlign w:val="center"/>
          </w:tcPr>
          <w:p>
            <w:pPr>
              <w:pStyle w:val="TableContents"/>
              <w:spacing w:before="0" w:after="1"/>
              <w:ind w:left="0" w:right="0" w:hanging="0"/>
              <w:rPr/>
            </w:pPr>
            <w:r>
              <w:rPr/>
              <w:t> </w:t>
            </w:r>
          </w:p>
        </w:tc>
        <w:tc>
          <w:tcPr>
            <w:tcW w:w="361" w:type="dxa"/>
            <w:tcBorders/>
            <w:shd w:fill="CCEEFF" w:val="clear"/>
            <w:vAlign w:val="center"/>
          </w:tcPr>
          <w:p>
            <w:pPr>
              <w:pStyle w:val="TableContents"/>
              <w:spacing w:before="0" w:after="1"/>
              <w:ind w:left="0" w:right="0" w:hanging="0"/>
              <w:jc w:val="center"/>
              <w:rPr>
                <w:rFonts w:ascii="Times New Roman;Times;serif" w:hAnsi="Times New Roman;Times;serif"/>
                <w:sz w:val="12"/>
              </w:rPr>
            </w:pPr>
            <w:r>
              <w:rPr>
                <w:rFonts w:ascii="Times New Roman;Times;serif" w:hAnsi="Times New Roman;Times;serif"/>
                <w:sz w:val="12"/>
              </w:rPr>
              <w:t>12</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(15,115)</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(15,115)</w:t>
            </w:r>
          </w:p>
        </w:tc>
        <w:tc>
          <w:tcPr>
            <w:tcW w:w="32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(15,115)</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Reclassification of Class A ordinary shares with liquidation preference upon termination of preference rights*</w:t>
            </w:r>
          </w:p>
        </w:tc>
        <w:tc>
          <w:tcPr>
            <w:tcW w:w="326"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jc w:val="center"/>
              <w:rPr>
                <w:rFonts w:ascii="Times New Roman;Times;serif" w:hAnsi="Times New Roman;Times;serif"/>
                <w:sz w:val="12"/>
              </w:rPr>
            </w:pPr>
            <w:r>
              <w:rPr>
                <w:rFonts w:ascii="Times New Roman;Times;serif" w:hAnsi="Times New Roman;Times;serif"/>
                <w:sz w:val="12"/>
              </w:rPr>
              <w:t>12, 16(b)</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(60,912,400)</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(43)</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60,912,400</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43</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Reclassification of redeemable Class A ordinary shares upon termination of preference rights**</w:t>
            </w:r>
          </w:p>
        </w:tc>
        <w:tc>
          <w:tcPr>
            <w:tcW w:w="326" w:type="dxa"/>
            <w:tcBorders/>
            <w:shd w:fill="CCEEFF" w:val="clear"/>
            <w:vAlign w:val="center"/>
          </w:tcPr>
          <w:p>
            <w:pPr>
              <w:pStyle w:val="TableContents"/>
              <w:spacing w:before="0" w:after="1"/>
              <w:ind w:left="0" w:right="0" w:hanging="0"/>
              <w:rPr/>
            </w:pPr>
            <w:r>
              <w:rPr/>
              <w:t>​</w:t>
            </w:r>
          </w:p>
        </w:tc>
        <w:tc>
          <w:tcPr>
            <w:tcW w:w="361" w:type="dxa"/>
            <w:tcBorders/>
            <w:shd w:fill="CCEEFF" w:val="clear"/>
            <w:vAlign w:val="center"/>
          </w:tcPr>
          <w:p>
            <w:pPr>
              <w:pStyle w:val="TableContents"/>
              <w:spacing w:before="0" w:after="1"/>
              <w:ind w:left="0" w:right="0" w:hanging="0"/>
              <w:jc w:val="center"/>
              <w:rPr>
                <w:rFonts w:ascii="Times New Roman;Times;serif" w:hAnsi="Times New Roman;Times;serif"/>
                <w:sz w:val="12"/>
              </w:rPr>
            </w:pPr>
            <w:r>
              <w:rPr>
                <w:rFonts w:ascii="Times New Roman;Times;serif" w:hAnsi="Times New Roman;Times;serif"/>
                <w:sz w:val="12"/>
              </w:rPr>
              <w:t>12, 16(b)</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153,290,800</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107</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896,401</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896,508</w:t>
            </w:r>
          </w:p>
        </w:tc>
        <w:tc>
          <w:tcPr>
            <w:tcW w:w="32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896,508</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Shares repurchase</w:t>
            </w:r>
          </w:p>
        </w:tc>
        <w:tc>
          <w:tcPr>
            <w:tcW w:w="326"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jc w:val="center"/>
              <w:rPr>
                <w:rFonts w:ascii="Times New Roman;Times;serif" w:hAnsi="Times New Roman;Times;serif"/>
                <w:sz w:val="12"/>
              </w:rPr>
            </w:pPr>
            <w:r>
              <w:rPr>
                <w:rFonts w:ascii="Times New Roman;Times;serif" w:hAnsi="Times New Roman;Times;serif"/>
                <w:sz w:val="12"/>
              </w:rPr>
              <w:t>16(c)</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(8,822,664)</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(6)</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(111,254)</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(111,260)</w:t>
            </w:r>
          </w:p>
        </w:tc>
        <w:tc>
          <w:tcPr>
            <w:tcW w:w="32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(111,260)</w:t>
            </w:r>
          </w:p>
        </w:tc>
      </w:tr>
      <w:tr>
        <w:trPr/>
        <w:tc>
          <w:tcPr>
            <w:tcW w:w="901" w:type="dxa"/>
            <w:tcBorders/>
            <w:shd w:fill="CCEEFF" w:val="clear"/>
            <w:vAlign w:val="center"/>
          </w:tcPr>
          <w:p>
            <w:pPr>
              <w:pStyle w:val="TableContents"/>
              <w:pBdr/>
              <w:spacing w:before="0" w:after="1"/>
              <w:ind w:left="0" w:right="0" w:hanging="0"/>
              <w:rPr>
                <w:rFonts w:ascii="Times New Roman;Times;serif" w:hAnsi="Times New Roman;Times;serif"/>
                <w:sz w:val="12"/>
              </w:rPr>
            </w:pPr>
            <w:r>
              <w:rPr>
                <w:rFonts w:ascii="Times New Roman;Times;serif" w:hAnsi="Times New Roman;Times;serif"/>
                <w:sz w:val="12"/>
              </w:rPr>
              <w:t>Distribution to shareholders</w:t>
            </w:r>
          </w:p>
        </w:tc>
        <w:tc>
          <w:tcPr>
            <w:tcW w:w="326" w:type="dxa"/>
            <w:tcBorders/>
            <w:shd w:fill="CCEEFF" w:val="clear"/>
            <w:vAlign w:val="center"/>
          </w:tcPr>
          <w:p>
            <w:pPr>
              <w:pStyle w:val="TableContents"/>
              <w:spacing w:before="0" w:after="1"/>
              <w:ind w:left="0" w:right="0" w:hanging="0"/>
              <w:rPr/>
            </w:pPr>
            <w:r>
              <w:rPr/>
              <w:t>​</w:t>
            </w:r>
          </w:p>
        </w:tc>
        <w:tc>
          <w:tcPr>
            <w:tcW w:w="361" w:type="dxa"/>
            <w:tcBorders/>
            <w:shd w:fill="CCEEFF" w:val="clear"/>
            <w:vAlign w:val="center"/>
          </w:tcPr>
          <w:p>
            <w:pPr>
              <w:pStyle w:val="TableContents"/>
              <w:spacing w:before="0" w:after="1"/>
              <w:ind w:left="0" w:right="0" w:hanging="0"/>
              <w:jc w:val="center"/>
              <w:rPr>
                <w:rFonts w:ascii="Times New Roman;Times;serif" w:hAnsi="Times New Roman;Times;serif"/>
                <w:sz w:val="12"/>
              </w:rPr>
            </w:pPr>
            <w:r>
              <w:rPr>
                <w:rFonts w:ascii="Times New Roman;Times;serif" w:hAnsi="Times New Roman;Times;serif"/>
                <w:sz w:val="12"/>
              </w:rPr>
              <w:t>16(d)</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(20,645)</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(20,645)</w:t>
            </w:r>
          </w:p>
        </w:tc>
        <w:tc>
          <w:tcPr>
            <w:tcW w:w="326" w:type="dxa"/>
            <w:tcBorders/>
            <w:shd w:fill="CCEEFF" w:val="clear"/>
            <w:vAlign w:val="center"/>
          </w:tcPr>
          <w:p>
            <w:pPr>
              <w:pStyle w:val="TableContents"/>
              <w:spacing w:before="0" w:after="1"/>
              <w:ind w:left="0" w:right="0" w:hanging="0"/>
              <w:rPr/>
            </w:pPr>
            <w:r>
              <w:rPr/>
              <w:t>​</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2"/>
              </w:rPr>
            </w:pPr>
            <w:r>
              <w:rPr>
                <w:rFonts w:ascii="Times New Roman;Times;serif" w:hAnsi="Times New Roman;Times;serif"/>
                <w:sz w:val="12"/>
              </w:rPr>
              <w:t>(20,645)</w:t>
            </w:r>
          </w:p>
        </w:tc>
      </w:tr>
      <w:tr>
        <w:trPr/>
        <w:tc>
          <w:tcPr>
            <w:tcW w:w="901" w:type="dxa"/>
            <w:tcBorders/>
            <w:shd w:fill="auto" w:val="clear"/>
            <w:vAlign w:val="center"/>
          </w:tcPr>
          <w:p>
            <w:pPr>
              <w:pStyle w:val="TableContents"/>
              <w:pBdr/>
              <w:spacing w:before="0" w:after="1"/>
              <w:ind w:left="0" w:right="0" w:hanging="0"/>
              <w:rPr>
                <w:rFonts w:ascii="Times New Roman;Times;serif" w:hAnsi="Times New Roman;Times;serif"/>
                <w:b/>
                <w:sz w:val="12"/>
              </w:rPr>
            </w:pPr>
            <w:r>
              <w:rPr>
                <w:rFonts w:ascii="Times New Roman;Times;serif" w:hAnsi="Times New Roman;Times;serif"/>
                <w:b/>
                <w:sz w:val="12"/>
              </w:rPr>
              <w:t>Balances at December 31, 2021</w:t>
            </w:r>
          </w:p>
        </w:tc>
        <w:tc>
          <w:tcPr>
            <w:tcW w:w="326" w:type="dxa"/>
            <w:tcBorders/>
            <w:shd w:fill="auto" w:val="clear"/>
            <w:vAlign w:val="center"/>
          </w:tcPr>
          <w:p>
            <w:pPr>
              <w:pStyle w:val="TableContents"/>
              <w:spacing w:before="0" w:after="1"/>
              <w:ind w:left="0" w:right="0" w:hanging="0"/>
              <w:rPr/>
            </w:pPr>
            <w:r>
              <w:rPr/>
              <w:t> </w:t>
            </w:r>
          </w:p>
        </w:tc>
        <w:tc>
          <w:tcPr>
            <w:tcW w:w="3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303,289,537</w:t>
            </w:r>
          </w:p>
        </w:tc>
        <w:tc>
          <w:tcPr>
            <w:tcW w:w="326" w:type="dxa"/>
            <w:tcBorders/>
            <w:shd w:fill="auto" w:val="clear"/>
            <w:vAlign w:val="center"/>
          </w:tcPr>
          <w:p>
            <w:pPr>
              <w:pStyle w:val="TableContents"/>
              <w:spacing w:before="0" w:after="1"/>
              <w:ind w:left="0" w:right="0" w:hanging="0"/>
              <w:rPr/>
            </w:pPr>
            <w:r>
              <w:rPr/>
              <w:t> </w:t>
            </w:r>
          </w:p>
        </w:tc>
        <w:tc>
          <w:tcPr>
            <w:tcW w:w="4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218</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73,680,917</w:t>
            </w:r>
          </w:p>
        </w:tc>
        <w:tc>
          <w:tcPr>
            <w:tcW w:w="326" w:type="dxa"/>
            <w:tcBorders/>
            <w:shd w:fill="auto" w:val="clear"/>
            <w:vAlign w:val="center"/>
          </w:tcPr>
          <w:p>
            <w:pPr>
              <w:pStyle w:val="TableContents"/>
              <w:spacing w:before="0" w:after="1"/>
              <w:ind w:left="0" w:right="0" w:hanging="0"/>
              <w:rPr/>
            </w:pPr>
            <w:r>
              <w:rPr/>
              <w:t> </w:t>
            </w:r>
          </w:p>
        </w:tc>
        <w:tc>
          <w:tcPr>
            <w:tcW w:w="4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56</w:t>
            </w:r>
          </w:p>
        </w:tc>
        <w:tc>
          <w:tcPr>
            <w:tcW w:w="326" w:type="dxa"/>
            <w:tcBorders/>
            <w:shd w:fill="auto" w:val="clear"/>
            <w:vAlign w:val="center"/>
          </w:tcPr>
          <w:p>
            <w:pPr>
              <w:pStyle w:val="TableContents"/>
              <w:spacing w:before="0" w:after="1"/>
              <w:ind w:left="0" w:right="0" w:hanging="0"/>
              <w:rPr/>
            </w:pPr>
            <w:r>
              <w:rPr/>
              <w:t> </w:t>
            </w:r>
          </w:p>
        </w:tc>
        <w:tc>
          <w:tcPr>
            <w:tcW w:w="6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764,502</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(176,403)</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(8,947)</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579,426</w:t>
            </w:r>
          </w:p>
        </w:tc>
        <w:tc>
          <w:tcPr>
            <w:tcW w:w="326" w:type="dxa"/>
            <w:tcBorders/>
            <w:shd w:fill="auto" w:val="clear"/>
            <w:vAlign w:val="center"/>
          </w:tcPr>
          <w:p>
            <w:pPr>
              <w:pStyle w:val="TableContents"/>
              <w:spacing w:before="0" w:after="1"/>
              <w:ind w:left="0" w:right="0" w:hanging="0"/>
              <w:rPr/>
            </w:pPr>
            <w:r>
              <w:rPr/>
              <w:t> </w:t>
            </w:r>
          </w:p>
        </w:tc>
        <w:tc>
          <w:tcPr>
            <w:tcW w:w="6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2"/>
              </w:rPr>
            </w:pPr>
            <w:r>
              <w:rPr>
                <w:rFonts w:ascii="Times New Roman;Times;serif" w:hAnsi="Times New Roman;Times;serif"/>
                <w:b/>
                <w:sz w:val="12"/>
              </w:rPr>
              <w:t>(14,811)</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45" w:hanging="0"/>
              <w:jc w:val="right"/>
              <w:rPr>
                <w:rFonts w:ascii="Times New Roman;Times;serif" w:hAnsi="Times New Roman;Times;serif"/>
                <w:b/>
                <w:sz w:val="12"/>
              </w:rPr>
            </w:pPr>
            <w:r>
              <w:rPr>
                <w:rFonts w:ascii="Times New Roman;Times;serif" w:hAnsi="Times New Roman;Times;serif"/>
                <w:b/>
                <w:sz w:val="12"/>
              </w:rPr>
              <w:t>564,615</w:t>
            </w:r>
          </w:p>
        </w:tc>
      </w:tr>
    </w:tbl>
    <w:p>
      <w:pPr>
        <w:pStyle w:val="Normal"/>
        <w:spacing w:before="0" w:after="0"/>
        <w:rPr>
          <w:sz w:val="4"/>
          <w:szCs w:val="4"/>
        </w:rPr>
      </w:pPr>
      <w:r>
        <w:rPr>
          <w:sz w:val="4"/>
          <w:szCs w:val="4"/>
        </w:rPr>
      </w:r>
      <w:bookmarkStart w:id="802" w:name="_29e75357_2e13_418c_8427_234c7f9ee149"/>
      <w:bookmarkStart w:id="803" w:name="_29e75357_2e13_418c_8427_234c7f9ee149"/>
      <w:bookmarkEnd w:id="803"/>
    </w:p>
    <w:tbl>
      <w:tblPr>
        <w:tblW w:w="6872" w:type="dxa"/>
        <w:jc w:val="left"/>
        <w:tblInd w:w="0" w:type="dxa"/>
        <w:tblCellMar>
          <w:top w:w="0" w:type="dxa"/>
          <w:left w:w="0" w:type="dxa"/>
          <w:bottom w:w="0" w:type="dxa"/>
          <w:right w:w="0" w:type="dxa"/>
        </w:tblCellMar>
      </w:tblPr>
      <w:tblGrid>
        <w:gridCol w:w="226"/>
        <w:gridCol w:w="664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664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Represent Series A shares of Atour Shanghai prior to Restructuring (see Note 12)</w:t>
            </w:r>
          </w:p>
        </w:tc>
      </w:tr>
    </w:tbl>
    <w:p>
      <w:pPr>
        <w:pStyle w:val="Normal"/>
        <w:spacing w:before="0" w:after="0"/>
        <w:rPr>
          <w:sz w:val="4"/>
          <w:szCs w:val="4"/>
        </w:rPr>
      </w:pPr>
      <w:r>
        <w:rPr>
          <w:sz w:val="4"/>
          <w:szCs w:val="4"/>
        </w:rPr>
      </w:r>
      <w:bookmarkStart w:id="804" w:name="_ec0c38ac_99a9_4dba_9dcd_a7395dd07388"/>
      <w:bookmarkStart w:id="805" w:name="_ec0c38ac_99a9_4dba_9dcd_a7395dd07388"/>
      <w:bookmarkEnd w:id="805"/>
    </w:p>
    <w:tbl>
      <w:tblPr>
        <w:tblW w:w="7502" w:type="dxa"/>
        <w:jc w:val="left"/>
        <w:tblInd w:w="0" w:type="dxa"/>
        <w:tblCellMar>
          <w:top w:w="0" w:type="dxa"/>
          <w:left w:w="0" w:type="dxa"/>
          <w:bottom w:w="0" w:type="dxa"/>
          <w:right w:w="0" w:type="dxa"/>
        </w:tblCellMar>
      </w:tblPr>
      <w:tblGrid>
        <w:gridCol w:w="331"/>
        <w:gridCol w:w="7171"/>
      </w:tblGrid>
      <w:tr>
        <w:trPr/>
        <w:tc>
          <w:tcPr>
            <w:tcW w:w="33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71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Represent Series B and C shares of Atour Shanghai prior to Restructuring (see Note 12)</w:t>
              <w:b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ATOUR LIFESTYLE HOLDINGS LIMITED</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(DEFICIT) EQUITY</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806" w:name="Tc_xk_EVtbAA0-DEFcF5ZCi3A_14_0"/>
      <w:bookmarkStart w:id="807" w:name="Tc_txjQtYtnpEWBPu9P609-Qg_13_20"/>
      <w:bookmarkStart w:id="808" w:name="Tc_jhzJXplufEGx23O9rwF8aQ_13_16"/>
      <w:bookmarkStart w:id="809" w:name="Tc_Vxd28b3WQ0aIZm_u2YvwhQ_13_14"/>
      <w:bookmarkStart w:id="810" w:name="Tc_WNZ3b4G5A0yWdwWUB18wXQ_13_10"/>
      <w:bookmarkStart w:id="811" w:name="Tc_hrupCwv5FkW_7wQvDhtE8A_13_8"/>
      <w:bookmarkStart w:id="812" w:name="Tc_Im5VfU1P90er3f-5uLawCQ_13_6"/>
      <w:bookmarkStart w:id="813" w:name="Tc_x0RspfCEoESth39HRaN7ZA_13_4"/>
      <w:bookmarkStart w:id="814" w:name="Tc_jlZqCsL3Ak6hFDgt5a7W3A_13_2"/>
      <w:bookmarkStart w:id="815" w:name="Tc_SGyrZtLpoEafiVZhr4Plmg_13_0"/>
      <w:bookmarkStart w:id="816" w:name="Tc_U5ulSbXWHEKYONKmVuOEfQ_12_20"/>
      <w:bookmarkStart w:id="817" w:name="Tc__DcJGvzknECPOcE0fZIcGw_12_16"/>
      <w:bookmarkStart w:id="818" w:name="Tc_3m2OKV8JE06rihuvoGmhXQ_12_14"/>
      <w:bookmarkStart w:id="819" w:name="Tc_m4MJu8B0dEKKVimsMMLQTQ_12_10"/>
      <w:bookmarkStart w:id="820" w:name="Tc_W8GkkwIQGUWtBZYbomtQmg_12_8"/>
      <w:bookmarkStart w:id="821" w:name="Tc_545V2fASb0KI0_okx7b4XQ_12_2"/>
      <w:bookmarkStart w:id="822" w:name="Tc_cz3GFz3gN0aa0iFJMJyw1A_12_0"/>
      <w:bookmarkStart w:id="823" w:name="Tc__uSHxRSnfUOYA1aJcoN3XQ_11_16"/>
      <w:bookmarkStart w:id="824" w:name="Tc_RRMCrj30tUOmTrZyXdHvhA_11_14"/>
      <w:bookmarkStart w:id="825" w:name="Tc_xlhNPXZD5ku7_h4PoA3tSg_11_10"/>
      <w:bookmarkStart w:id="826" w:name="Tc_Ttvq6-7NlkCySfhp-VnXlw_11_8"/>
      <w:bookmarkStart w:id="827" w:name="Tc_zNI8uq2FwUKk2pJrQm_0zQ_11_6"/>
      <w:bookmarkStart w:id="828" w:name="Tc_c_Cw5v2mOkG95GrRNlRb-Q_11_4"/>
      <w:bookmarkStart w:id="829" w:name="Tc_5yVVetVZXUOegefcMtq0eA_11_0"/>
      <w:bookmarkStart w:id="830" w:name="Tc_EnIAeH6rT0afMxAvxuaqZg_10_12"/>
      <w:bookmarkStart w:id="831" w:name="Tc_MxApXJUBi0uyr3Q_cOUMvw_10_10"/>
      <w:bookmarkStart w:id="832" w:name="Tc_gVW6eosQBEmNuegJlCgYAg_10_8"/>
      <w:bookmarkStart w:id="833" w:name="Tc_kVaW3LpF2kGJOmHjyyafqA_10_6"/>
      <w:bookmarkStart w:id="834" w:name="Tc_kh9P7kQvbUSLx9O6YU5afA_10_4"/>
      <w:bookmarkStart w:id="835" w:name="Tc_SYDxZe36Tka7zRlDOJCWdQ_10_0"/>
      <w:bookmarkStart w:id="836" w:name="Tc_xsDBEREUyketM5WX3SgMEw_9_20"/>
      <w:bookmarkStart w:id="837" w:name="Tc_0XKZmnfOPkWOWO9JkBxbkQ_9_14"/>
      <w:bookmarkStart w:id="838" w:name="Tc_RopvrBZb5U23J9gHL_MuNQ_9_12"/>
      <w:bookmarkStart w:id="839" w:name="Tc_0F_hpqJ3_E2tPRpJbUkvIA_9_10"/>
      <w:bookmarkStart w:id="840" w:name="Tc_vJkLFsWQyEKr1N73tnxvxA_9_8"/>
      <w:bookmarkStart w:id="841" w:name="Tc_SI4qcxqKlEG96hFDZzemXQ_9_6"/>
      <w:bookmarkStart w:id="842" w:name="Tc_8Da2kPyGbEepLCk89I9khg_9_4"/>
      <w:bookmarkStart w:id="843" w:name="Tc_9Ui4VMOuBUe-v45TOsXehA_9_0"/>
      <w:bookmarkStart w:id="844" w:name="Tc_vDTaVUAN4ES7hi1UMcJa-A_8_16"/>
      <w:bookmarkStart w:id="845" w:name="Tc_YYEttJ1ZRkm4tJTcOHP1cQ_8_12"/>
      <w:bookmarkStart w:id="846" w:name="Tc_HU1NgIT_4Uig1c3WYaNjlw_8_10"/>
      <w:bookmarkStart w:id="847" w:name="Tc_IKsVmsEEOUur3qDPhKRKAg_8_8"/>
      <w:bookmarkStart w:id="848" w:name="Tc_JFi-ghU58Uyclf4CC6Z2cA_8_6"/>
      <w:bookmarkStart w:id="849" w:name="Tc_GlTNdV977UKqOqT03kItyQ_8_4"/>
      <w:bookmarkStart w:id="850" w:name="Tc_q3LUVjpU9k2Ws89kvLg8hA_8_0"/>
      <w:bookmarkStart w:id="851" w:name="Tc__PD4KXS6bEiUkWa-eTXZpA_7_0"/>
      <w:bookmarkStart w:id="852" w:name="Tc_0fQK_Id8XEWVbPURXAg3PQ_6_22"/>
      <w:bookmarkStart w:id="853" w:name="Tc_X2ykVg8kmkWZlgs14NY4lA_6_20"/>
      <w:bookmarkStart w:id="854" w:name="Tc_2jTjSZBFo0-gjcpAJN0-jQ_6_18"/>
      <w:bookmarkStart w:id="855" w:name="Tc_pw_wQeeDS0S8wbAk8IQGyQ_6_16"/>
      <w:bookmarkStart w:id="856" w:name="Tc_N0HTyun7z0q6Ixbn01f8pw_6_14"/>
      <w:bookmarkStart w:id="857" w:name="Tc_lsn3S_Q1XUGReVV2yajdYA_6_12"/>
      <w:bookmarkStart w:id="858" w:name="Tc_bts1BP5AJk6SmcQp32x-yA_6_10"/>
      <w:bookmarkStart w:id="859" w:name="Tc_9bFuDmYlGkGmPfNvISokiA_6_8"/>
      <w:bookmarkStart w:id="860" w:name="Tc_wnp41oB7zU6RUUwC5kmLMg_6_6"/>
      <w:bookmarkStart w:id="861" w:name="Tc_hciJAalDTEK7P9fwlrkXPA_6_4"/>
      <w:bookmarkStart w:id="862" w:name="Tc_llLZPX-ZakaemjKnb0cJNw_5_8"/>
      <w:bookmarkStart w:id="863" w:name="Tc_N7CAV-twD0iiHZH_MF6FzQ_5_4"/>
      <w:bookmarkStart w:id="864" w:name="Tc_UCmUZlVaCUmpevgL2ItlJQ_4_22"/>
      <w:bookmarkStart w:id="865" w:name="Tc_B-Ktg8lTDEqlFikugGSQgw_4_20"/>
      <w:bookmarkStart w:id="866" w:name="Tc_Z-E5oq9H80OS9ig9PjwGXQ_4_18"/>
      <w:bookmarkStart w:id="867" w:name="Tc_Bg5-FFmYtk-eE33AA0AGRg_4_16"/>
      <w:bookmarkStart w:id="868" w:name="Tc_jrbVXVRTRUmfZVXwPB529A_4_14"/>
      <w:bookmarkStart w:id="869" w:name="Tc_qPqWiz8i4UmB_irj0ODcpw_4_12"/>
      <w:bookmarkStart w:id="870" w:name="Tc_W1XS6OY1A0mRpiyecEGkcg_4_8"/>
      <w:bookmarkStart w:id="871" w:name="Tc_dVbaUKfQAUukGIYkb2OBhw_4_4"/>
      <w:bookmarkStart w:id="872" w:name="Tc_WFxl2kkUH0GJSjxNrq8rSA_4_2"/>
      <w:bookmarkStart w:id="873" w:name="Tc_xzcAsqMiqkmuaVHG2zKdfw_3_22"/>
      <w:bookmarkStart w:id="874" w:name="Tc_3XAutukefU20_2r6bEW8ew_3_20"/>
      <w:bookmarkStart w:id="875" w:name="Tc_Nd-j-EXQdECuTZ9v2Ou5RA_3_18"/>
      <w:bookmarkStart w:id="876" w:name="Tc_pO92DnYeSEGx-8QlhS2hhQ_3_16"/>
      <w:bookmarkStart w:id="877" w:name="Tc_N4WXAKGkvU29PROA7Bqdng_3_14"/>
      <w:bookmarkStart w:id="878" w:name="Tc_g_MM7oc_vUazFq_M_3Jzgg_3_12"/>
      <w:bookmarkStart w:id="879" w:name="Tc_2npOjRuPJ0-so9RJZFA9Og_3_8"/>
      <w:bookmarkStart w:id="880" w:name="Tc_iu6Y_gBT2Eep6TBG_jrxJw_3_4"/>
      <w:bookmarkStart w:id="881" w:name="Tc_nAa6-YT1ZUmOEDr9EJgiIA_2_20"/>
      <w:bookmarkStart w:id="882" w:name="Tc_S_S66Rzwx0iZ1Skg15V4tw_2_18"/>
      <w:bookmarkStart w:id="883" w:name="Tc_Qm5eBLaf00GPk6tQNpRj9Q_2_16"/>
      <w:bookmarkStart w:id="884" w:name="Tc_VBPav6GTs0-deNwIL8CIqQ_1_18"/>
      <w:bookmarkStart w:id="885" w:name="Tc_OiRyq4nWwkqSTWl_DqMU2g_1_16"/>
      <w:bookmarkStart w:id="886" w:name="_d0bb24b2_eec0_4be3_9603_1b68591fb6c3"/>
      <w:bookmarkStart w:id="887" w:name="Tc_xk_EVtbAA0-DEFcF5ZCi3A_14_0"/>
      <w:bookmarkStart w:id="888" w:name="Tc_txjQtYtnpEWBPu9P609-Qg_13_20"/>
      <w:bookmarkStart w:id="889" w:name="Tc_jhzJXplufEGx23O9rwF8aQ_13_16"/>
      <w:bookmarkStart w:id="890" w:name="Tc_Vxd28b3WQ0aIZm_u2YvwhQ_13_14"/>
      <w:bookmarkStart w:id="891" w:name="Tc_WNZ3b4G5A0yWdwWUB18wXQ_13_10"/>
      <w:bookmarkStart w:id="892" w:name="Tc_hrupCwv5FkW_7wQvDhtE8A_13_8"/>
      <w:bookmarkStart w:id="893" w:name="Tc_Im5VfU1P90er3f-5uLawCQ_13_6"/>
      <w:bookmarkStart w:id="894" w:name="Tc_x0RspfCEoESth39HRaN7ZA_13_4"/>
      <w:bookmarkStart w:id="895" w:name="Tc_jlZqCsL3Ak6hFDgt5a7W3A_13_2"/>
      <w:bookmarkStart w:id="896" w:name="Tc_SGyrZtLpoEafiVZhr4Plmg_13_0"/>
      <w:bookmarkStart w:id="897" w:name="Tc_U5ulSbXWHEKYONKmVuOEfQ_12_20"/>
      <w:bookmarkStart w:id="898" w:name="Tc__DcJGvzknECPOcE0fZIcGw_12_16"/>
      <w:bookmarkStart w:id="899" w:name="Tc_3m2OKV8JE06rihuvoGmhXQ_12_14"/>
      <w:bookmarkStart w:id="900" w:name="Tc_m4MJu8B0dEKKVimsMMLQTQ_12_10"/>
      <w:bookmarkStart w:id="901" w:name="Tc_W8GkkwIQGUWtBZYbomtQmg_12_8"/>
      <w:bookmarkStart w:id="902" w:name="Tc_545V2fASb0KI0_okx7b4XQ_12_2"/>
      <w:bookmarkStart w:id="903" w:name="Tc_cz3GFz3gN0aa0iFJMJyw1A_12_0"/>
      <w:bookmarkStart w:id="904" w:name="Tc__uSHxRSnfUOYA1aJcoN3XQ_11_16"/>
      <w:bookmarkStart w:id="905" w:name="Tc_RRMCrj30tUOmTrZyXdHvhA_11_14"/>
      <w:bookmarkStart w:id="906" w:name="Tc_xlhNPXZD5ku7_h4PoA3tSg_11_10"/>
      <w:bookmarkStart w:id="907" w:name="Tc_Ttvq6-7NlkCySfhp-VnXlw_11_8"/>
      <w:bookmarkStart w:id="908" w:name="Tc_zNI8uq2FwUKk2pJrQm_0zQ_11_6"/>
      <w:bookmarkStart w:id="909" w:name="Tc_c_Cw5v2mOkG95GrRNlRb-Q_11_4"/>
      <w:bookmarkStart w:id="910" w:name="Tc_5yVVetVZXUOegefcMtq0eA_11_0"/>
      <w:bookmarkStart w:id="911" w:name="Tc_EnIAeH6rT0afMxAvxuaqZg_10_12"/>
      <w:bookmarkStart w:id="912" w:name="Tc_MxApXJUBi0uyr3Q_cOUMvw_10_10"/>
      <w:bookmarkStart w:id="913" w:name="Tc_gVW6eosQBEmNuegJlCgYAg_10_8"/>
      <w:bookmarkStart w:id="914" w:name="Tc_kVaW3LpF2kGJOmHjyyafqA_10_6"/>
      <w:bookmarkStart w:id="915" w:name="Tc_kh9P7kQvbUSLx9O6YU5afA_10_4"/>
      <w:bookmarkStart w:id="916" w:name="Tc_SYDxZe36Tka7zRlDOJCWdQ_10_0"/>
      <w:bookmarkStart w:id="917" w:name="Tc_xsDBEREUyketM5WX3SgMEw_9_20"/>
      <w:bookmarkStart w:id="918" w:name="Tc_0XKZmnfOPkWOWO9JkBxbkQ_9_14"/>
      <w:bookmarkStart w:id="919" w:name="Tc_RopvrBZb5U23J9gHL_MuNQ_9_12"/>
      <w:bookmarkStart w:id="920" w:name="Tc_0F_hpqJ3_E2tPRpJbUkvIA_9_10"/>
      <w:bookmarkStart w:id="921" w:name="Tc_vJkLFsWQyEKr1N73tnxvxA_9_8"/>
      <w:bookmarkStart w:id="922" w:name="Tc_SI4qcxqKlEG96hFDZzemXQ_9_6"/>
      <w:bookmarkStart w:id="923" w:name="Tc_8Da2kPyGbEepLCk89I9khg_9_4"/>
      <w:bookmarkStart w:id="924" w:name="Tc_9Ui4VMOuBUe-v45TOsXehA_9_0"/>
      <w:bookmarkStart w:id="925" w:name="Tc_vDTaVUAN4ES7hi1UMcJa-A_8_16"/>
      <w:bookmarkStart w:id="926" w:name="Tc_YYEttJ1ZRkm4tJTcOHP1cQ_8_12"/>
      <w:bookmarkStart w:id="927" w:name="Tc_HU1NgIT_4Uig1c3WYaNjlw_8_10"/>
      <w:bookmarkStart w:id="928" w:name="Tc_IKsVmsEEOUur3qDPhKRKAg_8_8"/>
      <w:bookmarkStart w:id="929" w:name="Tc_JFi-ghU58Uyclf4CC6Z2cA_8_6"/>
      <w:bookmarkStart w:id="930" w:name="Tc_GlTNdV977UKqOqT03kItyQ_8_4"/>
      <w:bookmarkStart w:id="931" w:name="Tc_q3LUVjpU9k2Ws89kvLg8hA_8_0"/>
      <w:bookmarkStart w:id="932" w:name="Tc__PD4KXS6bEiUkWa-eTXZpA_7_0"/>
      <w:bookmarkStart w:id="933" w:name="Tc_0fQK_Id8XEWVbPURXAg3PQ_6_22"/>
      <w:bookmarkStart w:id="934" w:name="Tc_X2ykVg8kmkWZlgs14NY4lA_6_20"/>
      <w:bookmarkStart w:id="935" w:name="Tc_2jTjSZBFo0-gjcpAJN0-jQ_6_18"/>
      <w:bookmarkStart w:id="936" w:name="Tc_pw_wQeeDS0S8wbAk8IQGyQ_6_16"/>
      <w:bookmarkStart w:id="937" w:name="Tc_N0HTyun7z0q6Ixbn01f8pw_6_14"/>
      <w:bookmarkStart w:id="938" w:name="Tc_lsn3S_Q1XUGReVV2yajdYA_6_12"/>
      <w:bookmarkStart w:id="939" w:name="Tc_bts1BP5AJk6SmcQp32x-yA_6_10"/>
      <w:bookmarkStart w:id="940" w:name="Tc_9bFuDmYlGkGmPfNvISokiA_6_8"/>
      <w:bookmarkStart w:id="941" w:name="Tc_wnp41oB7zU6RUUwC5kmLMg_6_6"/>
      <w:bookmarkStart w:id="942" w:name="Tc_hciJAalDTEK7P9fwlrkXPA_6_4"/>
      <w:bookmarkStart w:id="943" w:name="Tc_llLZPX-ZakaemjKnb0cJNw_5_8"/>
      <w:bookmarkStart w:id="944" w:name="Tc_N7CAV-twD0iiHZH_MF6FzQ_5_4"/>
      <w:bookmarkStart w:id="945" w:name="Tc_UCmUZlVaCUmpevgL2ItlJQ_4_22"/>
      <w:bookmarkStart w:id="946" w:name="Tc_B-Ktg8lTDEqlFikugGSQgw_4_20"/>
      <w:bookmarkStart w:id="947" w:name="Tc_Z-E5oq9H80OS9ig9PjwGXQ_4_18"/>
      <w:bookmarkStart w:id="948" w:name="Tc_Bg5-FFmYtk-eE33AA0AGRg_4_16"/>
      <w:bookmarkStart w:id="949" w:name="Tc_jrbVXVRTRUmfZVXwPB529A_4_14"/>
      <w:bookmarkStart w:id="950" w:name="Tc_qPqWiz8i4UmB_irj0ODcpw_4_12"/>
      <w:bookmarkStart w:id="951" w:name="Tc_W1XS6OY1A0mRpiyecEGkcg_4_8"/>
      <w:bookmarkStart w:id="952" w:name="Tc_dVbaUKfQAUukGIYkb2OBhw_4_4"/>
      <w:bookmarkStart w:id="953" w:name="Tc_WFxl2kkUH0GJSjxNrq8rSA_4_2"/>
      <w:bookmarkStart w:id="954" w:name="Tc_xzcAsqMiqkmuaVHG2zKdfw_3_22"/>
      <w:bookmarkStart w:id="955" w:name="Tc_3XAutukefU20_2r6bEW8ew_3_20"/>
      <w:bookmarkStart w:id="956" w:name="Tc_Nd-j-EXQdECuTZ9v2Ou5RA_3_18"/>
      <w:bookmarkStart w:id="957" w:name="Tc_pO92DnYeSEGx-8QlhS2hhQ_3_16"/>
      <w:bookmarkStart w:id="958" w:name="Tc_N4WXAKGkvU29PROA7Bqdng_3_14"/>
      <w:bookmarkStart w:id="959" w:name="Tc_g_MM7oc_vUazFq_M_3Jzgg_3_12"/>
      <w:bookmarkStart w:id="960" w:name="Tc_2npOjRuPJ0-so9RJZFA9Og_3_8"/>
      <w:bookmarkStart w:id="961" w:name="Tc_iu6Y_gBT2Eep6TBG_jrxJw_3_4"/>
      <w:bookmarkStart w:id="962" w:name="Tc_nAa6-YT1ZUmOEDr9EJgiIA_2_20"/>
      <w:bookmarkStart w:id="963" w:name="Tc_S_S66Rzwx0iZ1Skg15V4tw_2_18"/>
      <w:bookmarkStart w:id="964" w:name="Tc_Qm5eBLaf00GPk6tQNpRj9Q_2_16"/>
      <w:bookmarkStart w:id="965" w:name="Tc_VBPav6GTs0-deNwIL8CIqQ_1_18"/>
      <w:bookmarkStart w:id="966" w:name="Tc_OiRyq4nWwkqSTWl_DqMU2g_1_16"/>
      <w:bookmarkStart w:id="967" w:name="_d0bb24b2_eec0_4be3_9603_1b68591fb6c3"/>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tbl>
      <w:tblPr>
        <w:tblW w:w="11998" w:type="dxa"/>
        <w:jc w:val="left"/>
        <w:tblInd w:w="0" w:type="dxa"/>
        <w:tblCellMar>
          <w:top w:w="0" w:type="dxa"/>
          <w:left w:w="0" w:type="dxa"/>
          <w:bottom w:w="0" w:type="dxa"/>
          <w:right w:w="0" w:type="dxa"/>
        </w:tblCellMar>
      </w:tblPr>
      <w:tblGrid>
        <w:gridCol w:w="871"/>
        <w:gridCol w:w="326"/>
        <w:gridCol w:w="361"/>
        <w:gridCol w:w="326"/>
        <w:gridCol w:w="706"/>
        <w:gridCol w:w="326"/>
        <w:gridCol w:w="436"/>
        <w:gridCol w:w="326"/>
        <w:gridCol w:w="706"/>
        <w:gridCol w:w="326"/>
        <w:gridCol w:w="436"/>
        <w:gridCol w:w="326"/>
        <w:gridCol w:w="841"/>
        <w:gridCol w:w="326"/>
        <w:gridCol w:w="826"/>
        <w:gridCol w:w="326"/>
        <w:gridCol w:w="886"/>
        <w:gridCol w:w="326"/>
        <w:gridCol w:w="916"/>
        <w:gridCol w:w="326"/>
        <w:gridCol w:w="751"/>
        <w:gridCol w:w="326"/>
        <w:gridCol w:w="676"/>
      </w:tblGrid>
      <w:tr>
        <w:trPr/>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53085" cy="175260"/>
                      <wp:effectExtent l="0" t="0" r="0" b="0"/>
                      <wp:wrapNone/>
                      <wp:docPr id="323" name="Frame31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9235" cy="175260"/>
                      <wp:effectExtent l="0" t="0" r="0" b="0"/>
                      <wp:wrapNone/>
                      <wp:docPr id="325" name="Frame31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48310" cy="175260"/>
                      <wp:effectExtent l="0" t="0" r="0" b="0"/>
                      <wp:wrapNone/>
                      <wp:docPr id="327" name="Frame319"/>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76860" cy="175260"/>
                      <wp:effectExtent l="0" t="0" r="0" b="0"/>
                      <wp:wrapNone/>
                      <wp:docPr id="329" name="Frame321"/>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48310" cy="175260"/>
                      <wp:effectExtent l="0" t="0" r="0" b="0"/>
                      <wp:wrapNone/>
                      <wp:docPr id="331" name="Frame323"/>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76860" cy="175260"/>
                      <wp:effectExtent l="0" t="0" r="0" b="0"/>
                      <wp:wrapNone/>
                      <wp:docPr id="333" name="Frame325"/>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34035" cy="175260"/>
                      <wp:effectExtent l="0" t="0" r="0" b="0"/>
                      <wp:wrapNone/>
                      <wp:docPr id="335" name="Frame32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4510" cy="175260"/>
                      <wp:effectExtent l="0" t="0" r="0" b="0"/>
                      <wp:wrapNone/>
                      <wp:docPr id="337" name="Frame32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62610" cy="175260"/>
                      <wp:effectExtent l="0" t="0" r="0" b="0"/>
                      <wp:wrapNone/>
                      <wp:docPr id="339" name="Frame33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81660" cy="175260"/>
                      <wp:effectExtent l="0" t="0" r="0" b="0"/>
                      <wp:wrapNone/>
                      <wp:docPr id="341" name="Frame333"/>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76885" cy="175260"/>
                      <wp:effectExtent l="0" t="0" r="0" b="0"/>
                      <wp:wrapNone/>
                      <wp:docPr id="343" name="Frame335"/>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29260" cy="175260"/>
                      <wp:effectExtent l="0" t="0" r="0" b="0"/>
                      <wp:wrapNone/>
                      <wp:docPr id="345" name="Frame33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  </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Total equity</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attributable to  </w:t>
            </w:r>
          </w:p>
        </w:tc>
        <w:tc>
          <w:tcPr>
            <w:tcW w:w="32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Non-</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r>
      <w:tr>
        <w:trPr/>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6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 ordinary </w:t>
            </w:r>
          </w:p>
        </w:tc>
        <w:tc>
          <w:tcPr>
            <w:tcW w:w="326" w:type="dxa"/>
            <w:tcBorders/>
            <w:shd w:fill="auto" w:val="clear"/>
            <w:vAlign w:val="center"/>
          </w:tcPr>
          <w:p>
            <w:pPr>
              <w:pStyle w:val="TableContents"/>
              <w:spacing w:before="0" w:after="0"/>
              <w:ind w:left="0" w:right="0" w:hanging="0"/>
              <w:jc w:val="center"/>
              <w:rPr/>
            </w:pPr>
            <w:r>
              <w:rPr/>
              <w:t>​</w:t>
            </w:r>
          </w:p>
        </w:tc>
        <w:tc>
          <w:tcPr>
            <w:tcW w:w="146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B ordinary </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 </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 </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shareholders of</w:t>
            </w:r>
          </w:p>
        </w:tc>
        <w:tc>
          <w:tcPr>
            <w:tcW w:w="32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2"/>
              </w:rPr>
              <w:t>controlling </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Total </w:t>
            </w:r>
          </w:p>
        </w:tc>
      </w:tr>
      <w:tr>
        <w:trPr/>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26" w:type="dxa"/>
            <w:tcBorders/>
            <w:shd w:fill="auto" w:val="clear"/>
            <w:vAlign w:val="center"/>
          </w:tcPr>
          <w:p>
            <w:pPr>
              <w:pStyle w:val="TableContents"/>
              <w:spacing w:before="0" w:after="0"/>
              <w:ind w:left="0" w:right="0" w:hanging="0"/>
              <w:jc w:val="center"/>
              <w:rPr/>
            </w:pPr>
            <w:r>
              <w:rPr/>
              <w:t>​</w:t>
            </w:r>
          </w:p>
        </w:tc>
        <w:tc>
          <w:tcPr>
            <w:tcW w:w="14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w:t>
            </w:r>
          </w:p>
        </w:tc>
        <w:tc>
          <w:tcPr>
            <w:tcW w:w="14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 capital</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loss</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the Company</w:t>
            </w:r>
          </w:p>
        </w:tc>
        <w:tc>
          <w:tcPr>
            <w:tcW w:w="326" w:type="dxa"/>
            <w:tcBorders/>
            <w:shd w:fill="auto" w:val="clear"/>
            <w:vAlign w:val="center"/>
          </w:tcPr>
          <w:p>
            <w:pPr>
              <w:pStyle w:val="TableContents"/>
              <w:spacing w:before="0" w:after="0"/>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interests</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RMB’000</w:t>
            </w:r>
          </w:p>
        </w:tc>
      </w:tr>
      <w:tr>
        <w:trPr/>
        <w:tc>
          <w:tcPr>
            <w:tcW w:w="871"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Balances at January 1, 2022</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303,289,537</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218</w:t>
            </w:r>
          </w:p>
        </w:tc>
        <w:tc>
          <w:tcPr>
            <w:tcW w:w="326" w:type="dxa"/>
            <w:tcBorders/>
            <w:shd w:fill="CCEEFF" w:val="clear"/>
            <w:vAlign w:val="center"/>
          </w:tcPr>
          <w:p>
            <w:pPr>
              <w:pStyle w:val="TableContents"/>
              <w:spacing w:before="0" w:after="0"/>
              <w:ind w:left="0" w:right="0" w:hanging="0"/>
              <w:jc w:val="center"/>
              <w:rPr/>
            </w:pPr>
            <w:r>
              <w:rPr/>
              <w:t>​</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73,680,917</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56</w:t>
            </w:r>
          </w:p>
        </w:tc>
        <w:tc>
          <w:tcPr>
            <w:tcW w:w="326" w:type="dxa"/>
            <w:tcBorders/>
            <w:shd w:fill="CCEEFF" w:val="clear"/>
            <w:vAlign w:val="center"/>
          </w:tcPr>
          <w:p>
            <w:pPr>
              <w:pStyle w:val="TableContents"/>
              <w:spacing w:before="0" w:after="0"/>
              <w:ind w:left="0" w:right="0" w:hanging="0"/>
              <w:jc w:val="center"/>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764,502</w:t>
            </w:r>
          </w:p>
        </w:tc>
        <w:tc>
          <w:tcPr>
            <w:tcW w:w="326" w:type="dxa"/>
            <w:tcBorders/>
            <w:shd w:fill="CCEEFF" w:val="clear"/>
            <w:vAlign w:val="center"/>
          </w:tcPr>
          <w:p>
            <w:pPr>
              <w:pStyle w:val="TableContents"/>
              <w:spacing w:before="0" w:after="0"/>
              <w:ind w:left="0" w:right="0" w:hanging="0"/>
              <w:jc w:val="center"/>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(176,403)</w:t>
            </w:r>
          </w:p>
        </w:tc>
        <w:tc>
          <w:tcPr>
            <w:tcW w:w="326" w:type="dxa"/>
            <w:tcBorders/>
            <w:shd w:fill="CCEEFF" w:val="clear"/>
            <w:vAlign w:val="center"/>
          </w:tcPr>
          <w:p>
            <w:pPr>
              <w:pStyle w:val="TableContents"/>
              <w:spacing w:before="0" w:after="0"/>
              <w:ind w:left="0" w:right="0" w:hanging="0"/>
              <w:jc w:val="center"/>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(8,947)</w:t>
            </w:r>
          </w:p>
        </w:tc>
        <w:tc>
          <w:tcPr>
            <w:tcW w:w="326" w:type="dxa"/>
            <w:tcBorders/>
            <w:shd w:fill="CCEEFF" w:val="clear"/>
            <w:vAlign w:val="center"/>
          </w:tcPr>
          <w:p>
            <w:pPr>
              <w:pStyle w:val="TableContents"/>
              <w:spacing w:before="0" w:after="0"/>
              <w:ind w:left="0" w:right="0" w:hanging="0"/>
              <w:jc w:val="center"/>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579,426</w:t>
            </w:r>
          </w:p>
        </w:tc>
        <w:tc>
          <w:tcPr>
            <w:tcW w:w="326" w:type="dxa"/>
            <w:tcBorders/>
            <w:shd w:fill="CCEEFF" w:val="clear"/>
            <w:vAlign w:val="center"/>
          </w:tcPr>
          <w:p>
            <w:pPr>
              <w:pStyle w:val="TableContents"/>
              <w:spacing w:before="0" w:after="0"/>
              <w:ind w:left="0" w:right="0" w:hanging="0"/>
              <w:jc w:val="center"/>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(14,811)</w:t>
            </w:r>
          </w:p>
        </w:tc>
        <w:tc>
          <w:tcPr>
            <w:tcW w:w="326"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564,615</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Profit (loss) for the year</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98,099</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98,099</w:t>
            </w:r>
          </w:p>
        </w:tc>
        <w:tc>
          <w:tcPr>
            <w:tcW w:w="32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(2,017)</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96,082</w:t>
            </w:r>
          </w:p>
        </w:tc>
      </w:tr>
      <w:tr>
        <w:trPr/>
        <w:tc>
          <w:tcPr>
            <w:tcW w:w="87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Other comprehensive loss</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(1,918)</w:t>
            </w:r>
          </w:p>
        </w:tc>
        <w:tc>
          <w:tcPr>
            <w:tcW w:w="326" w:type="dxa"/>
            <w:tcBorders/>
            <w:shd w:fill="CCEEFF"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(1,918)</w:t>
            </w:r>
          </w:p>
        </w:tc>
        <w:tc>
          <w:tcPr>
            <w:tcW w:w="326" w:type="dxa"/>
            <w:tcBorders/>
            <w:shd w:fill="CCEEFF" w:val="clear"/>
            <w:vAlign w:val="center"/>
          </w:tcPr>
          <w:p>
            <w:pPr>
              <w:pStyle w:val="TableContents"/>
              <w:spacing w:before="0" w:after="0"/>
              <w:ind w:left="0" w:right="0" w:hanging="0"/>
              <w:jc w:val="center"/>
              <w:rPr/>
            </w:pPr>
            <w:r>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(1,918)</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Total comprehensive income (loss)</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98,099</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(1,918)</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96,181</w:t>
            </w:r>
          </w:p>
        </w:tc>
        <w:tc>
          <w:tcPr>
            <w:tcW w:w="32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(2,017)</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94,164</w:t>
            </w:r>
          </w:p>
        </w:tc>
      </w:tr>
      <w:tr>
        <w:trPr/>
        <w:tc>
          <w:tcPr>
            <w:tcW w:w="87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 xml:space="preserve">Acquisition of non-controlling interest </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(7,279)</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(7,279)</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6,929</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(350)</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Initial public offering (“IPO”) proceeds net of listing expenses</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16(a)</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16,387,500</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365,773</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365,784</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365,784</w:t>
            </w:r>
          </w:p>
        </w:tc>
      </w:tr>
      <w:tr>
        <w:trPr/>
        <w:tc>
          <w:tcPr>
            <w:tcW w:w="87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Share-based compensation</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15</w:t>
            </w:r>
          </w:p>
        </w:tc>
        <w:tc>
          <w:tcPr>
            <w:tcW w:w="326" w:type="dxa"/>
            <w:tcBorders/>
            <w:shd w:fill="CCEEFF" w:val="cle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163,193</w:t>
            </w:r>
          </w:p>
        </w:tc>
        <w:tc>
          <w:tcPr>
            <w:tcW w:w="326" w:type="dxa"/>
            <w:tcBorders/>
            <w:shd w:fill="CCEEFF" w:val="cle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163,193</w:t>
            </w:r>
          </w:p>
        </w:tc>
        <w:tc>
          <w:tcPr>
            <w:tcW w:w="326" w:type="dxa"/>
            <w:tcBorders/>
            <w:shd w:fill="CCEEFF" w:val="clear"/>
            <w:vAlign w:val="center"/>
          </w:tcPr>
          <w:p>
            <w:pPr>
              <w:pStyle w:val="TableContents"/>
              <w:spacing w:before="0" w:after="0"/>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163,193</w:t>
            </w:r>
          </w:p>
        </w:tc>
      </w:tr>
      <w:tr>
        <w:trPr/>
        <w:tc>
          <w:tcPr>
            <w:tcW w:w="871"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Balances at December 31, 2022</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319,677,037</w:t>
            </w:r>
          </w:p>
        </w:tc>
        <w:tc>
          <w:tcPr>
            <w:tcW w:w="326" w:type="dxa"/>
            <w:tcBorders/>
            <w:shd w:fill="auto" w:val="clear"/>
            <w:vAlign w:val="center"/>
          </w:tcPr>
          <w:p>
            <w:pPr>
              <w:pStyle w:val="TableContents"/>
              <w:spacing w:before="0" w:after="0"/>
              <w:ind w:left="0" w:right="0" w:hanging="0"/>
              <w:rPr/>
            </w:pPr>
            <w:r>
              <w:rPr/>
              <w:t> </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229</w:t>
            </w:r>
          </w:p>
        </w:tc>
        <w:tc>
          <w:tcPr>
            <w:tcW w:w="326" w:type="dxa"/>
            <w:tcBorders/>
            <w:shd w:fill="auto" w:val="clear"/>
            <w:vAlign w:val="center"/>
          </w:tcPr>
          <w:p>
            <w:pPr>
              <w:pStyle w:val="TableContents"/>
              <w:spacing w:before="0" w:after="0"/>
              <w:ind w:left="0" w:right="0" w:hanging="0"/>
              <w:rPr/>
            </w:pPr>
            <w:r>
              <w:rPr/>
              <w:t> </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73,680,917</w:t>
            </w:r>
          </w:p>
        </w:tc>
        <w:tc>
          <w:tcPr>
            <w:tcW w:w="326" w:type="dxa"/>
            <w:tcBorders/>
            <w:shd w:fill="auto" w:val="clear"/>
            <w:vAlign w:val="center"/>
          </w:tcPr>
          <w:p>
            <w:pPr>
              <w:pStyle w:val="TableContents"/>
              <w:spacing w:before="0" w:after="0"/>
              <w:ind w:left="0" w:right="0" w:hanging="0"/>
              <w:rPr/>
            </w:pPr>
            <w:r>
              <w:rPr/>
              <w:t> </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56</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1,286,189</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(78,304)</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(10,865)</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1,197,305</w:t>
            </w:r>
          </w:p>
        </w:tc>
        <w:tc>
          <w:tcPr>
            <w:tcW w:w="326" w:type="dxa"/>
            <w:tcBorders/>
            <w:shd w:fill="auto" w:val="clear"/>
            <w:vAlign w:val="center"/>
          </w:tcPr>
          <w:p>
            <w:pPr>
              <w:pStyle w:val="TableContents"/>
              <w:spacing w:before="0" w:after="0"/>
              <w:ind w:left="0" w:right="0" w:hanging="0"/>
              <w:rPr/>
            </w:pPr>
            <w:r>
              <w:rPr/>
              <w:t> </w:t>
            </w:r>
          </w:p>
        </w:tc>
        <w:tc>
          <w:tcPr>
            <w:tcW w:w="7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2"/>
              </w:rPr>
            </w:pPr>
            <w:r>
              <w:rPr>
                <w:rFonts w:ascii="Times New Roman;Times;serif" w:hAnsi="Times New Roman;Times;serif"/>
                <w:b/>
                <w:sz w:val="12"/>
              </w:rPr>
              <w:t>(9,899)</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b/>
                <w:sz w:val="12"/>
              </w:rPr>
            </w:pPr>
            <w:r>
              <w:rPr>
                <w:rFonts w:ascii="Times New Roman;Times;serif" w:hAnsi="Times New Roman;Times;serif"/>
                <w:b/>
                <w:sz w:val="12"/>
              </w:rPr>
              <w:t>1,187,406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00"/>
        <w:ind w:left="0" w:right="0" w:hanging="0"/>
        <w:jc w:val="center"/>
        <w:rPr>
          <w:rFonts w:ascii="Times New Roman;Times;serif" w:hAnsi="Times New Roman;Times;serif"/>
          <w:b/>
          <w:sz w:val="20"/>
        </w:rPr>
      </w:pPr>
      <w:bookmarkStart w:id="968" w:name="_923f2404_b8c9_4898_ba3e_9944765b95ca"/>
      <w:bookmarkEnd w:id="968"/>
      <w:r>
        <w:rPr>
          <w:rFonts w:ascii="Times New Roman;Times;serif" w:hAnsi="Times New Roman;Times;serif"/>
          <w:b/>
          <w:sz w:val="20"/>
        </w:rPr>
        <w:t xml:space="preserve">ATOUR LIFESTYLE HOLDINGS LIMITED </w:t>
      </w:r>
    </w:p>
    <w:p>
      <w:pPr>
        <w:pStyle w:val="TextBody"/>
        <w:spacing w:before="0" w:after="200"/>
        <w:ind w:left="0" w:right="0" w:hanging="0"/>
        <w:jc w:val="center"/>
        <w:rPr>
          <w:rFonts w:ascii="Times New Roman;Times;serif" w:hAnsi="Times New Roman;Times;serif"/>
          <w:b/>
          <w:sz w:val="20"/>
        </w:rPr>
      </w:pPr>
      <w:bookmarkStart w:id="969" w:name="CONSOLIDATEDSTATEMENTSOFCASHFLOWS_157340"/>
      <w:bookmarkEnd w:id="969"/>
      <w:r>
        <w:rPr>
          <w:rFonts w:ascii="Times New Roman;Times;serif" w:hAnsi="Times New Roman;Times;serif"/>
          <w:b/>
          <w:sz w:val="20"/>
        </w:rPr>
        <w:t>CONSOLIDATED STATEMENTS OF CASH FLOWS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970" w:name="Tc_oOC5etuKfEalUIzWnrueWg_31_0"/>
      <w:bookmarkStart w:id="971" w:name="Tc_ZylOuEFDtkCarWNlxyIeGg_30_0"/>
      <w:bookmarkStart w:id="972" w:name="Tc_CH-YYmHYcEmv0tadLKxDnQ_29_4"/>
      <w:bookmarkStart w:id="973" w:name="Tc_2Q2LF1jZJEqrolAzR1BPOA_29_2"/>
      <w:bookmarkStart w:id="974" w:name="Tc_XWxsvnpYaU-njRJM8dxNvQ_29_0"/>
      <w:bookmarkStart w:id="975" w:name="Tc_53UTX7kLNkeTxzD2tFNjMg_28_0"/>
      <w:bookmarkStart w:id="976" w:name="Tc_W7KVSb7nIkaOC7oXB0A3xQ_27_0"/>
      <w:bookmarkStart w:id="977" w:name="Tc_p21oBoLHOU6bw5ZAOhr5fA_26_0"/>
      <w:bookmarkStart w:id="978" w:name="Tc_nQj1n6KU60GM2fQwC8FkxA_25_0"/>
      <w:bookmarkStart w:id="979" w:name="Tc_k6vg1wPK2ESGUE59FHDJGA_24_0"/>
      <w:bookmarkStart w:id="980" w:name="Tc_qeyU4FLgo0iEr8YzHF6BlA_23_0"/>
      <w:bookmarkStart w:id="981" w:name="Tc_afIKP44XxEeVrc_5UV66nQ_22_0"/>
      <w:bookmarkStart w:id="982" w:name="Tc_-nQXGQ_IQ0uftvxwieK3cg_21_0"/>
      <w:bookmarkStart w:id="983" w:name="Tc_aL8K1kIBNkGlxKmk_4-UfQ_20_0"/>
      <w:bookmarkStart w:id="984" w:name="Tc_BdMqp85i0kSINXDjpYeSfg_19_0"/>
      <w:bookmarkStart w:id="985" w:name="Tc_TyGeYeUsskiH9js4atvaCw_18_0"/>
      <w:bookmarkStart w:id="986" w:name="Tc_xT2vBX8S10G5uD3EeLJbng_17_0"/>
      <w:bookmarkStart w:id="987" w:name="Tc_VMng4B5Bk0W81TyzP34InA_16_0"/>
      <w:bookmarkStart w:id="988" w:name="Tc_6UdGCihR4kW4JNjjeTOBbQ_15_4"/>
      <w:bookmarkStart w:id="989" w:name="Tc_559psoW1cEKukSftSXY4Rw_15_2"/>
      <w:bookmarkStart w:id="990" w:name="Tc_9qfvk1PdZEq_Oog3irGh4Q_15_0"/>
      <w:bookmarkStart w:id="991" w:name="Tc_0Ho4oxiB_kWY6FquXKDXag_14_0"/>
      <w:bookmarkStart w:id="992" w:name="Tc_UMqy4BWjOk2FJc3ET7bE_A_13_0"/>
      <w:bookmarkStart w:id="993" w:name="Tc_2uiHnUyt1ka--Ozl_3LPuA_12_8"/>
      <w:bookmarkStart w:id="994" w:name="Tc_RUKMuFWqJkO-3JNA9HLepg_12_6"/>
      <w:bookmarkStart w:id="995" w:name="Tc_VZP6MLctLUSFM5VHJ3pmQQ_12_2"/>
      <w:bookmarkStart w:id="996" w:name="Tc_3GIX33vCFEeYt9x8zxwT-w_12_0"/>
      <w:bookmarkStart w:id="997" w:name="Tc_LuupOKcpFky-dTb5IVRCQw_11_2"/>
      <w:bookmarkStart w:id="998" w:name="Tc_1jBq6Xo6O0y6MAqKmsNbGQ_11_0"/>
      <w:bookmarkStart w:id="999" w:name="Tc_HeBWKiwtfkqk-0lPqaoNLw_10_0"/>
      <w:bookmarkStart w:id="1000" w:name="Tc__8p27YKgUky0SOSN2g_P0A_9_4"/>
      <w:bookmarkStart w:id="1001" w:name="Tc_1mSrqN7-VEaEGQRNWcaVmg_9_2"/>
      <w:bookmarkStart w:id="1002" w:name="Tc_0qBePGFdHEOkWRDFkwqeBg_9_0"/>
      <w:bookmarkStart w:id="1003" w:name="Tc_qkJAkkr3dUKrE31u39RG1A_8_0"/>
      <w:bookmarkStart w:id="1004" w:name="Tc_i3P-Ob2nekSm3G2Yg2tg6w_7_0"/>
      <w:bookmarkStart w:id="1005" w:name="Tc_o4YVpvBdXkO8R-a13JFE7w_6_0"/>
      <w:bookmarkStart w:id="1006" w:name="Tc_HtfZEcUq3Eeb7qBHB9QV6A_5_0"/>
      <w:bookmarkStart w:id="1007" w:name="Tc_w_reKyUoBk6nb6ztJvICtA_4_8"/>
      <w:bookmarkStart w:id="1008" w:name="Tc_3tlsdaRSQkSEMdS1G_w_IA_3_8"/>
      <w:bookmarkStart w:id="1009" w:name="Tc_gzXrIV7Q6UWoS14TQJpZ7g_3_6"/>
      <w:bookmarkStart w:id="1010" w:name="Tc_4O9bR1NoeEKYEm-GrZwHQw_3_4"/>
      <w:bookmarkStart w:id="1011" w:name="Tc_ZgPUPV21PUu1C6HAEhYc-Q_3_2"/>
      <w:bookmarkStart w:id="1012" w:name="Tc_ooeLEn9rv0eNZtWBQMHQCw_2_8"/>
      <w:bookmarkStart w:id="1013" w:name="Tc_1G6sbQ6f-kmZU3ZvdRHhkA_2_6"/>
      <w:bookmarkStart w:id="1014" w:name="Tc_T2NnQnY4C0qojveslk3JEw_2_4"/>
      <w:bookmarkStart w:id="1015" w:name="Tc_DTCIO5q73U63nhhgSUQTFQ_2_2"/>
      <w:bookmarkStart w:id="1016" w:name="Tc_YsjW9Z4eaEeF8dXr2eMA6A_1_2"/>
      <w:bookmarkStart w:id="1017" w:name="_8c686a68_5ad5_4cc9_a2e5_0a336640ac2d"/>
      <w:bookmarkStart w:id="1018" w:name="Tc_oOC5etuKfEalUIzWnrueWg_31_0"/>
      <w:bookmarkStart w:id="1019" w:name="Tc_ZylOuEFDtkCarWNlxyIeGg_30_0"/>
      <w:bookmarkStart w:id="1020" w:name="Tc_CH-YYmHYcEmv0tadLKxDnQ_29_4"/>
      <w:bookmarkStart w:id="1021" w:name="Tc_2Q2LF1jZJEqrolAzR1BPOA_29_2"/>
      <w:bookmarkStart w:id="1022" w:name="Tc_XWxsvnpYaU-njRJM8dxNvQ_29_0"/>
      <w:bookmarkStart w:id="1023" w:name="Tc_53UTX7kLNkeTxzD2tFNjMg_28_0"/>
      <w:bookmarkStart w:id="1024" w:name="Tc_W7KVSb7nIkaOC7oXB0A3xQ_27_0"/>
      <w:bookmarkStart w:id="1025" w:name="Tc_p21oBoLHOU6bw5ZAOhr5fA_26_0"/>
      <w:bookmarkStart w:id="1026" w:name="Tc_nQj1n6KU60GM2fQwC8FkxA_25_0"/>
      <w:bookmarkStart w:id="1027" w:name="Tc_k6vg1wPK2ESGUE59FHDJGA_24_0"/>
      <w:bookmarkStart w:id="1028" w:name="Tc_qeyU4FLgo0iEr8YzHF6BlA_23_0"/>
      <w:bookmarkStart w:id="1029" w:name="Tc_afIKP44XxEeVrc_5UV66nQ_22_0"/>
      <w:bookmarkStart w:id="1030" w:name="Tc_-nQXGQ_IQ0uftvxwieK3cg_21_0"/>
      <w:bookmarkStart w:id="1031" w:name="Tc_aL8K1kIBNkGlxKmk_4-UfQ_20_0"/>
      <w:bookmarkStart w:id="1032" w:name="Tc_BdMqp85i0kSINXDjpYeSfg_19_0"/>
      <w:bookmarkStart w:id="1033" w:name="Tc_TyGeYeUsskiH9js4atvaCw_18_0"/>
      <w:bookmarkStart w:id="1034" w:name="Tc_xT2vBX8S10G5uD3EeLJbng_17_0"/>
      <w:bookmarkStart w:id="1035" w:name="Tc_VMng4B5Bk0W81TyzP34InA_16_0"/>
      <w:bookmarkStart w:id="1036" w:name="Tc_6UdGCihR4kW4JNjjeTOBbQ_15_4"/>
      <w:bookmarkStart w:id="1037" w:name="Tc_559psoW1cEKukSftSXY4Rw_15_2"/>
      <w:bookmarkStart w:id="1038" w:name="Tc_9qfvk1PdZEq_Oog3irGh4Q_15_0"/>
      <w:bookmarkStart w:id="1039" w:name="Tc_0Ho4oxiB_kWY6FquXKDXag_14_0"/>
      <w:bookmarkStart w:id="1040" w:name="Tc_UMqy4BWjOk2FJc3ET7bE_A_13_0"/>
      <w:bookmarkStart w:id="1041" w:name="Tc_2uiHnUyt1ka--Ozl_3LPuA_12_8"/>
      <w:bookmarkStart w:id="1042" w:name="Tc_RUKMuFWqJkO-3JNA9HLepg_12_6"/>
      <w:bookmarkStart w:id="1043" w:name="Tc_VZP6MLctLUSFM5VHJ3pmQQ_12_2"/>
      <w:bookmarkStart w:id="1044" w:name="Tc_3GIX33vCFEeYt9x8zxwT-w_12_0"/>
      <w:bookmarkStart w:id="1045" w:name="Tc_LuupOKcpFky-dTb5IVRCQw_11_2"/>
      <w:bookmarkStart w:id="1046" w:name="Tc_1jBq6Xo6O0y6MAqKmsNbGQ_11_0"/>
      <w:bookmarkStart w:id="1047" w:name="Tc_HeBWKiwtfkqk-0lPqaoNLw_10_0"/>
      <w:bookmarkStart w:id="1048" w:name="Tc__8p27YKgUky0SOSN2g_P0A_9_4"/>
      <w:bookmarkStart w:id="1049" w:name="Tc_1mSrqN7-VEaEGQRNWcaVmg_9_2"/>
      <w:bookmarkStart w:id="1050" w:name="Tc_0qBePGFdHEOkWRDFkwqeBg_9_0"/>
      <w:bookmarkStart w:id="1051" w:name="Tc_qkJAkkr3dUKrE31u39RG1A_8_0"/>
      <w:bookmarkStart w:id="1052" w:name="Tc_i3P-Ob2nekSm3G2Yg2tg6w_7_0"/>
      <w:bookmarkStart w:id="1053" w:name="Tc_o4YVpvBdXkO8R-a13JFE7w_6_0"/>
      <w:bookmarkStart w:id="1054" w:name="Tc_HtfZEcUq3Eeb7qBHB9QV6A_5_0"/>
      <w:bookmarkStart w:id="1055" w:name="Tc_w_reKyUoBk6nb6ztJvICtA_4_8"/>
      <w:bookmarkStart w:id="1056" w:name="Tc_3tlsdaRSQkSEMdS1G_w_IA_3_8"/>
      <w:bookmarkStart w:id="1057" w:name="Tc_gzXrIV7Q6UWoS14TQJpZ7g_3_6"/>
      <w:bookmarkStart w:id="1058" w:name="Tc_4O9bR1NoeEKYEm-GrZwHQw_3_4"/>
      <w:bookmarkStart w:id="1059" w:name="Tc_ZgPUPV21PUu1C6HAEhYc-Q_3_2"/>
      <w:bookmarkStart w:id="1060" w:name="Tc_ooeLEn9rv0eNZtWBQMHQCw_2_8"/>
      <w:bookmarkStart w:id="1061" w:name="Tc_1G6sbQ6f-kmZU3ZvdRHhkA_2_6"/>
      <w:bookmarkStart w:id="1062" w:name="Tc_T2NnQnY4C0qojveslk3JEw_2_4"/>
      <w:bookmarkStart w:id="1063" w:name="Tc_DTCIO5q73U63nhhgSUQTFQ_2_2"/>
      <w:bookmarkStart w:id="1064" w:name="Tc_YsjW9Z4eaEeF8dXr2eMA6A_1_2"/>
      <w:bookmarkStart w:id="1065" w:name="_8c686a68_5ad5_4cc9_a2e5_0a336640ac2d"/>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tbl>
      <w:tblPr>
        <w:tblW w:w="10205" w:type="dxa"/>
        <w:jc w:val="left"/>
        <w:tblInd w:w="0" w:type="dxa"/>
        <w:tblCellMar>
          <w:top w:w="0" w:type="dxa"/>
          <w:left w:w="0" w:type="dxa"/>
          <w:bottom w:w="0" w:type="dxa"/>
          <w:right w:w="0" w:type="dxa"/>
        </w:tblCellMar>
      </w:tblPr>
      <w:tblGrid>
        <w:gridCol w:w="5445"/>
        <w:gridCol w:w="326"/>
        <w:gridCol w:w="856"/>
        <w:gridCol w:w="326"/>
        <w:gridCol w:w="856"/>
        <w:gridCol w:w="326"/>
        <w:gridCol w:w="887"/>
        <w:gridCol w:w="326"/>
        <w:gridCol w:w="857"/>
      </w:tblGrid>
      <w:tr>
        <w:trPr/>
        <w:tc>
          <w:tcPr>
            <w:tcW w:w="54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457575" cy="175260"/>
                      <wp:effectExtent l="0" t="0" r="0" b="0"/>
                      <wp:wrapNone/>
                      <wp:docPr id="346" name="Frame338"/>
                      <a:graphic xmlns:a="http://schemas.openxmlformats.org/drawingml/2006/main">
                        <a:graphicData uri="http://schemas.microsoft.com/office/word/2010/wordprocessingShape">
                          <wps:wsp>
                            <wps:cNvSpPr txBox="1"/>
                            <wps:spPr>
                              <a:xfrm>
                                <a:off x="0" y="0"/>
                                <a:ext cx="3457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43560" cy="175260"/>
                      <wp:effectExtent l="0" t="0" r="0" b="0"/>
                      <wp:wrapNone/>
                      <wp:docPr id="348" name="Frame34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43560" cy="175260"/>
                      <wp:effectExtent l="0" t="0" r="0" b="0"/>
                      <wp:wrapNone/>
                      <wp:docPr id="350" name="Frame34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63245" cy="175260"/>
                      <wp:effectExtent l="0" t="0" r="0" b="0"/>
                      <wp:wrapNone/>
                      <wp:docPr id="352" name="Frame344"/>
                      <a:graphic xmlns:a="http://schemas.openxmlformats.org/drawingml/2006/main">
                        <a:graphicData uri="http://schemas.microsoft.com/office/word/2010/wordprocessingShape">
                          <wps:wsp>
                            <wps:cNvSpPr txBox="1"/>
                            <wps:spPr>
                              <a:xfrm>
                                <a:off x="0" y="0"/>
                                <a:ext cx="563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44195" cy="175260"/>
                      <wp:effectExtent l="0" t="0" r="0" b="0"/>
                      <wp:wrapNone/>
                      <wp:docPr id="354" name="Frame346"/>
                      <a:graphic xmlns:a="http://schemas.openxmlformats.org/drawingml/2006/main">
                        <a:graphicData uri="http://schemas.microsoft.com/office/word/2010/wordprocessingShape">
                          <wps:wsp>
                            <wps:cNvSpPr txBox="1"/>
                            <wps:spPr>
                              <a:xfrm>
                                <a:off x="0" y="0"/>
                                <a:ext cx="544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4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34"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Years ended December 31,</w:t>
            </w:r>
          </w:p>
        </w:tc>
      </w:tr>
      <w:tr>
        <w:trPr/>
        <w:tc>
          <w:tcPr>
            <w:tcW w:w="544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88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4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87"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57"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USD ‘000</w:t>
            </w:r>
          </w:p>
        </w:tc>
      </w:tr>
      <w:tr>
        <w:trPr/>
        <w:tc>
          <w:tcPr>
            <w:tcW w:w="544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8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7"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Note 2(d)</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57" w:type="dxa"/>
            <w:tcBorders/>
            <w:shd w:fill="CCEEFF" w:val="clear"/>
            <w:vAlign w:val="center"/>
          </w:tcPr>
          <w:p>
            <w:pPr>
              <w:pStyle w:val="TableContents"/>
              <w:spacing w:before="0" w:after="0"/>
              <w:ind w:left="0" w:right="0" w:hanging="0"/>
              <w:jc w:val="right"/>
              <w:rPr/>
            </w:pPr>
            <w:r>
              <w:rPr/>
              <w:t>​</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Net income</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37,822</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139,670</w:t>
            </w:r>
          </w:p>
        </w:tc>
        <w:tc>
          <w:tcPr>
            <w:tcW w:w="326" w:type="dxa"/>
            <w:tcBorders/>
            <w:shd w:fill="auto" w:val="clear"/>
            <w:vAlign w:val="center"/>
          </w:tcPr>
          <w:p>
            <w:pPr>
              <w:pStyle w:val="TableContents"/>
              <w:spacing w:before="0" w:after="0"/>
              <w:ind w:left="0" w:right="0" w:hanging="0"/>
              <w:jc w:val="right"/>
              <w:rPr>
                <w:color w:val="231F20"/>
              </w:rPr>
            </w:pPr>
            <w:r>
              <w:rPr>
                <w:color w:val="231F20"/>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96,082</w:t>
            </w:r>
          </w:p>
        </w:tc>
        <w:tc>
          <w:tcPr>
            <w:tcW w:w="326" w:type="dxa"/>
            <w:tcBorders/>
            <w:shd w:fill="auto" w:val="clear"/>
            <w:vAlign w:val="center"/>
          </w:tcPr>
          <w:p>
            <w:pPr>
              <w:pStyle w:val="TableContents"/>
              <w:spacing w:before="0" w:after="0"/>
              <w:ind w:left="0" w:right="0" w:hanging="0"/>
              <w:jc w:val="right"/>
              <w:rPr>
                <w:color w:val="231F20"/>
              </w:rPr>
            </w:pPr>
            <w:r>
              <w:rPr>
                <w:color w:val="231F20"/>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13,932</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Adjustments to reconcile net income to net cash generated from operating activities:</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pPr>
            <w:r>
              <w:rPr/>
              <w:t>​</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84,955</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93,911</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88,561</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12,840</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Reduction in the carrying amount of ROU assets</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268,280</w:t>
            </w:r>
          </w:p>
        </w:tc>
        <w:tc>
          <w:tcPr>
            <w:tcW w:w="326" w:type="dxa"/>
            <w:tcBorders/>
            <w:shd w:fill="CCEEFF" w:val="clear"/>
            <w:vAlign w:val="center"/>
          </w:tcPr>
          <w:p>
            <w:pPr>
              <w:pStyle w:val="TableContents"/>
              <w:spacing w:before="0" w:after="0"/>
              <w:ind w:left="0" w:right="0" w:hanging="0"/>
              <w:jc w:val="right"/>
              <w:rPr/>
            </w:pPr>
            <w:r>
              <w:rPr/>
              <w:t>​</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38,897</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Gain from short-term investments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(11,046)</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(8,745)</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(8,455)</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 on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 on disposal of intangible asset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pPr>
            <w:r>
              <w:rPr/>
              <w:t>—</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2,889</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4,737</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Deferred income tax (benefit) expense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(34,331)</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(9,396)</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10,174</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1,475</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163,193</w:t>
            </w:r>
          </w:p>
        </w:tc>
        <w:tc>
          <w:tcPr>
            <w:tcW w:w="326" w:type="dxa"/>
            <w:tcBorders/>
            <w:shd w:fill="CCEEFF" w:val="clear"/>
            <w:vAlign w:val="center"/>
          </w:tcPr>
          <w:p>
            <w:pPr>
              <w:pStyle w:val="TableContents"/>
              <w:spacing w:before="0" w:after="0"/>
              <w:ind w:left="0" w:right="0" w:hanging="0"/>
              <w:jc w:val="right"/>
              <w:rPr/>
            </w:pPr>
            <w:r>
              <w:rPr/>
              <w:t>​</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23,661</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pPr>
            <w:r>
              <w:rPr/>
              <w:t>​</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(63,087)</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40,416</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(37,475)</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(5,433)</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Inventories</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(15,726)</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(28,232)</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Amounts due from related parties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(16,991)</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(18,345)</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Contract costs</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(7,950)</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(9,805)</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(4,855)</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Prepayments and other current assets </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(50,535)</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(43,466)</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33,260</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4,822</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(41,535)</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(8,923)</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6,033</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4,843</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75,514</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23,624</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3,423</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(8,225)</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43,398</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85,779</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(20,807)</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(3,017)</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Salary and welfare payable</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9,624</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8,301</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payables</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99,913</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64,935</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(88,963)</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(12,898)</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taxes payable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39,579</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(15,333)</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(14,840)</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(274,061)</w:t>
            </w:r>
          </w:p>
        </w:tc>
        <w:tc>
          <w:tcPr>
            <w:tcW w:w="326" w:type="dxa"/>
            <w:tcBorders/>
            <w:shd w:fill="CCEEFF" w:val="clear"/>
            <w:vAlign w:val="center"/>
          </w:tcPr>
          <w:p>
            <w:pPr>
              <w:pStyle w:val="TableContents"/>
              <w:spacing w:before="0" w:after="0"/>
              <w:ind w:left="0" w:right="0" w:hanging="0"/>
              <w:jc w:val="right"/>
              <w:rPr/>
            </w:pPr>
            <w:r>
              <w:rPr/>
              <w:t>​</w:t>
            </w:r>
          </w:p>
        </w:tc>
        <w:tc>
          <w:tcPr>
            <w:tcW w:w="8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(39,735)</w:t>
            </w:r>
          </w:p>
        </w:tc>
      </w:tr>
      <w:tr>
        <w:trPr/>
        <w:tc>
          <w:tcPr>
            <w:tcW w:w="544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46,756</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53,397</w:t>
            </w:r>
          </w:p>
        </w:tc>
        <w:tc>
          <w:tcPr>
            <w:tcW w:w="326" w:type="dxa"/>
            <w:tcBorders/>
            <w:shd w:fill="auto" w:val="clear"/>
            <w:vAlign w:val="center"/>
          </w:tcPr>
          <w:p>
            <w:pPr>
              <w:pStyle w:val="TableContents"/>
              <w:spacing w:before="0" w:after="0"/>
              <w:ind w:left="0" w:right="0" w:hanging="0"/>
              <w:jc w:val="right"/>
              <w:rPr/>
            </w:pPr>
            <w:r>
              <w:rPr/>
              <w:t> </w:t>
            </w:r>
          </w:p>
        </w:tc>
        <w:tc>
          <w:tcPr>
            <w:tcW w:w="8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28,212</w:t>
            </w:r>
          </w:p>
        </w:tc>
        <w:tc>
          <w:tcPr>
            <w:tcW w:w="326" w:type="dxa"/>
            <w:tcBorders/>
            <w:shd w:fill="auto" w:val="clear"/>
            <w:vAlign w:val="center"/>
          </w:tcPr>
          <w:p>
            <w:pPr>
              <w:pStyle w:val="TableContents"/>
              <w:spacing w:before="0" w:after="0"/>
              <w:ind w:left="0" w:right="0" w:hanging="0"/>
              <w:jc w:val="right"/>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r>
      <w:tr>
        <w:trPr/>
        <w:tc>
          <w:tcPr>
            <w:tcW w:w="5445"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 xml:space="preserve">Net cash generated from operating activities </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118,670</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417,879</w:t>
            </w:r>
          </w:p>
        </w:tc>
        <w:tc>
          <w:tcPr>
            <w:tcW w:w="326" w:type="dxa"/>
            <w:tcBorders/>
            <w:shd w:fill="CCEEFF" w:val="clear"/>
            <w:vAlign w:val="center"/>
          </w:tcPr>
          <w:p>
            <w:pPr>
              <w:pStyle w:val="TableContents"/>
              <w:spacing w:before="0" w:after="0"/>
              <w:ind w:left="0" w:right="0" w:hanging="0"/>
              <w:jc w:val="right"/>
              <w:rPr/>
            </w:pPr>
            <w:r>
              <w:rPr/>
              <w:t> </w:t>
            </w:r>
          </w:p>
        </w:tc>
        <w:tc>
          <w:tcPr>
            <w:tcW w:w="8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283,677</w:t>
            </w:r>
          </w:p>
        </w:tc>
        <w:tc>
          <w:tcPr>
            <w:tcW w:w="326" w:type="dxa"/>
            <w:tcBorders/>
            <w:shd w:fill="CCEEFF" w:val="clear"/>
            <w:vAlign w:val="center"/>
          </w:tcPr>
          <w:p>
            <w:pPr>
              <w:pStyle w:val="TableContents"/>
              <w:spacing w:before="0" w:after="0"/>
              <w:ind w:left="0" w:right="0" w:hanging="0"/>
              <w:jc w:val="right"/>
              <w:rPr/>
            </w:pPr>
            <w:r>
              <w:rPr/>
              <w:t> </w:t>
            </w:r>
          </w:p>
        </w:tc>
        <w:tc>
          <w:tcPr>
            <w:tcW w:w="857"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41,129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ATOUR LIFESTYLE HOLDINGS LIMITED </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1066" w:name="Tc_I5HVS8qamUyPuF7ILfEPHQ_37_0"/>
      <w:bookmarkStart w:id="1067" w:name="Tc_igTEt6waMUC7uu_lqfHtOA_36_0"/>
      <w:bookmarkStart w:id="1068" w:name="Tc_ITxjkPmOOEeyKagIO_YlwA_35_0"/>
      <w:bookmarkStart w:id="1069" w:name="Tc_Cgdf3MfcE0iOeFXvyzto6Q_34_0"/>
      <w:bookmarkStart w:id="1070" w:name="Tc_RSVo7La4zE6HnAi2XerbVQ_33_8"/>
      <w:bookmarkStart w:id="1071" w:name="Tc_XoA2tEpUQk6OTPJEaXoFbw_33_6"/>
      <w:bookmarkStart w:id="1072" w:name="Tc_mmdnS8Jg10-KLiT_qKmJ3g_33_0"/>
      <w:bookmarkStart w:id="1073" w:name="Tc_aDGUUwVHgkmjs7XAD8WIRg_32_2"/>
      <w:bookmarkStart w:id="1074" w:name="Tc_htbcQfBebUqmEwZnGx940A_32_0"/>
      <w:bookmarkStart w:id="1075" w:name="Tc_qIgG4L8ZI06I2oqP-KmqRA_31_0"/>
      <w:bookmarkStart w:id="1076" w:name="Tc_ocsi4qyK6kmoVOy9022m6g_30_0"/>
      <w:bookmarkStart w:id="1077" w:name="Tc_gaCYK5jAI0Wplk7A5TYLxw_29_0"/>
      <w:bookmarkStart w:id="1078" w:name="Tc_aOBdveswqUu-PnaVWhan5w_28_0"/>
      <w:bookmarkStart w:id="1079" w:name="Tc_76WsAQclm0K0aA-HwYqykA_27_0"/>
      <w:bookmarkStart w:id="1080" w:name="Tc_vzcmxifk7UOKUz2qxi1Kgg_26_0"/>
      <w:bookmarkStart w:id="1081" w:name="Tc_LTCZ9l3R20m4HlKdF1yM3Q_25_0"/>
      <w:bookmarkStart w:id="1082" w:name="Tc_aOglVCTkWEyaKHDXyogOKg_24_0"/>
      <w:bookmarkStart w:id="1083" w:name="Tc_ZYM1iB2S5kiMT7nmavjzuA_23_0"/>
      <w:bookmarkStart w:id="1084" w:name="Tc_PZBO29BF_EiP0yDz5_k_6A_22_2"/>
      <w:bookmarkStart w:id="1085" w:name="Tc_n0ymZS2Ch0mn6BepYT6hEA_22_0"/>
      <w:bookmarkStart w:id="1086" w:name="Tc_DWSp_XIK1EaHKAHHRK6-_w_21_0"/>
      <w:bookmarkStart w:id="1087" w:name="Tc_MnIn9xLpZka5SsC7LKqFuw_20_2"/>
      <w:bookmarkStart w:id="1088" w:name="Tc_Vhk7mNAbK0mhudyo6kaagQ_20_0"/>
      <w:bookmarkStart w:id="1089" w:name="Tc_1CUv00HewkGSxJQOH4nwfQ_19_4"/>
      <w:bookmarkStart w:id="1090" w:name="Tc_rAxoS4rZqkOiZ2uZcifrAA_19_2"/>
      <w:bookmarkStart w:id="1091" w:name="Tc_YFLL0hbE6UaMqVwmYwIslw_19_0"/>
      <w:bookmarkStart w:id="1092" w:name="Tc_B9TUah91xEKz1JtZLCkpTw_18_8"/>
      <w:bookmarkStart w:id="1093" w:name="Tc_k-XljHIEDkmEPjRHYzLNUA_18_6"/>
      <w:bookmarkStart w:id="1094" w:name="Tc_NFcN5tshlkSZarjzZllMmA_18_2"/>
      <w:bookmarkStart w:id="1095" w:name="Tc_B5bfonELBkaQYQpW7HA_2A_18_0"/>
      <w:bookmarkStart w:id="1096" w:name="Tc_fcAHhOGUw0qLCd9a4aJsBA_17_8"/>
      <w:bookmarkStart w:id="1097" w:name="Tc_R5J4CndYF0GL5naIBI2MmA_17_6"/>
      <w:bookmarkStart w:id="1098" w:name="Tc_CeY-Wqzl_EWFNZlZnTkwIQ_17_2"/>
      <w:bookmarkStart w:id="1099" w:name="Tc_GfWds5CaxUStl3jVKoakYQ_17_0"/>
      <w:bookmarkStart w:id="1100" w:name="Tc_mztdqAKqXUGpJOVr7CMlmA_16_0"/>
      <w:bookmarkStart w:id="1101" w:name="Tc_fjb60tMCl0md4dUASbe0UA_15_0"/>
      <w:bookmarkStart w:id="1102" w:name="Tc_PtZ1uq3PB0SCxlpiauPGNg_14_4"/>
      <w:bookmarkStart w:id="1103" w:name="Tc_ceraRhlrA0-K6QJoZpBHTw_14_0"/>
      <w:bookmarkStart w:id="1104" w:name="Tc_VGp3yjqsaEKlpX27l7OMTw_13_0"/>
      <w:bookmarkStart w:id="1105" w:name="Tc_fHTZC6bV30elfNIVoSSAaw_12_0"/>
      <w:bookmarkStart w:id="1106" w:name="Tc_LCYXHrNmo0S0GaNWpgNrgA_11_8"/>
      <w:bookmarkStart w:id="1107" w:name="Tc_AWlke5fiHUa6WtgUyqeCzg_11_6"/>
      <w:bookmarkStart w:id="1108" w:name="Tc_SDAXO7ENB0idkpFza4JDJA_11_4"/>
      <w:bookmarkStart w:id="1109" w:name="Tc_crgH6MB64Uq9DUok5EpDVQ_11_0"/>
      <w:bookmarkStart w:id="1110" w:name="Tc_AtUPndLqRUKyk3EDpj96jA_10_8"/>
      <w:bookmarkStart w:id="1111" w:name="Tc_odwhIuMgEEqGEfSDzAFdyw_10_6"/>
      <w:bookmarkStart w:id="1112" w:name="Tc_4B8G3EGgP06gIsQly1oXaQ_10_2"/>
      <w:bookmarkStart w:id="1113" w:name="Tc_l0PdbS0ENEKj43g-tjmrRg_10_0"/>
      <w:bookmarkStart w:id="1114" w:name="Tc_dXdXCHse50SsfHpmx-2HhQ_9_0"/>
      <w:bookmarkStart w:id="1115" w:name="Tc_Ku_k2tmEY0yA6-MZwQfVeA_8_0"/>
      <w:bookmarkStart w:id="1116" w:name="Tc_aLGx2KwY8UaMYHodh7n03g_7_0"/>
      <w:bookmarkStart w:id="1117" w:name="Tc_W07lUKqy302DVZSEBg0fbg_6_0"/>
      <w:bookmarkStart w:id="1118" w:name="Tc_0PnDmeKXgEmK7aIXLffNgA_5_0"/>
      <w:bookmarkStart w:id="1119" w:name="Tc_tbTKtQHhcEiYCZZuMtPGwg_4_8"/>
      <w:bookmarkStart w:id="1120" w:name="Tc_Sg_tVbwDQ0KeeRJK2jTQqw_3_8"/>
      <w:bookmarkStart w:id="1121" w:name="Tc_ptbJWmPvV0C_DVQ8RzEJZg_3_6"/>
      <w:bookmarkStart w:id="1122" w:name="Tc_rvZ6iaXSCEmFh3WsGI0oKQ_3_4"/>
      <w:bookmarkStart w:id="1123" w:name="Tc_1a_AflUpJkGxYAP9Wy6SCA_3_2"/>
      <w:bookmarkStart w:id="1124" w:name="Tc_6RYysl1lY0iZuoDThVOciw_2_8"/>
      <w:bookmarkStart w:id="1125" w:name="Tc_98Y1VS-j9UGag62ddrg-Ug_2_6"/>
      <w:bookmarkStart w:id="1126" w:name="Tc_9ZwpP0DyjkG2rP6zm6gH8w_2_4"/>
      <w:bookmarkStart w:id="1127" w:name="Tc_jaf3g0GacE2rcxc_0G1ntg_2_2"/>
      <w:bookmarkStart w:id="1128" w:name="Tc_6P2jbBe-uUiw1c2k7AFlkA_1_2"/>
      <w:bookmarkStart w:id="1129" w:name="_147ac4e4_d6dd_43fb_a2a0_24f2d2c90a0b"/>
      <w:bookmarkStart w:id="1130" w:name="Tc_I5HVS8qamUyPuF7ILfEPHQ_37_0"/>
      <w:bookmarkStart w:id="1131" w:name="Tc_igTEt6waMUC7uu_lqfHtOA_36_0"/>
      <w:bookmarkStart w:id="1132" w:name="Tc_ITxjkPmOOEeyKagIO_YlwA_35_0"/>
      <w:bookmarkStart w:id="1133" w:name="Tc_Cgdf3MfcE0iOeFXvyzto6Q_34_0"/>
      <w:bookmarkStart w:id="1134" w:name="Tc_RSVo7La4zE6HnAi2XerbVQ_33_8"/>
      <w:bookmarkStart w:id="1135" w:name="Tc_XoA2tEpUQk6OTPJEaXoFbw_33_6"/>
      <w:bookmarkStart w:id="1136" w:name="Tc_mmdnS8Jg10-KLiT_qKmJ3g_33_0"/>
      <w:bookmarkStart w:id="1137" w:name="Tc_aDGUUwVHgkmjs7XAD8WIRg_32_2"/>
      <w:bookmarkStart w:id="1138" w:name="Tc_htbcQfBebUqmEwZnGx940A_32_0"/>
      <w:bookmarkStart w:id="1139" w:name="Tc_qIgG4L8ZI06I2oqP-KmqRA_31_0"/>
      <w:bookmarkStart w:id="1140" w:name="Tc_ocsi4qyK6kmoVOy9022m6g_30_0"/>
      <w:bookmarkStart w:id="1141" w:name="Tc_gaCYK5jAI0Wplk7A5TYLxw_29_0"/>
      <w:bookmarkStart w:id="1142" w:name="Tc_aOBdveswqUu-PnaVWhan5w_28_0"/>
      <w:bookmarkStart w:id="1143" w:name="Tc_76WsAQclm0K0aA-HwYqykA_27_0"/>
      <w:bookmarkStart w:id="1144" w:name="Tc_vzcmxifk7UOKUz2qxi1Kgg_26_0"/>
      <w:bookmarkStart w:id="1145" w:name="Tc_LTCZ9l3R20m4HlKdF1yM3Q_25_0"/>
      <w:bookmarkStart w:id="1146" w:name="Tc_aOglVCTkWEyaKHDXyogOKg_24_0"/>
      <w:bookmarkStart w:id="1147" w:name="Tc_ZYM1iB2S5kiMT7nmavjzuA_23_0"/>
      <w:bookmarkStart w:id="1148" w:name="Tc_PZBO29BF_EiP0yDz5_k_6A_22_2"/>
      <w:bookmarkStart w:id="1149" w:name="Tc_n0ymZS2Ch0mn6BepYT6hEA_22_0"/>
      <w:bookmarkStart w:id="1150" w:name="Tc_DWSp_XIK1EaHKAHHRK6-_w_21_0"/>
      <w:bookmarkStart w:id="1151" w:name="Tc_MnIn9xLpZka5SsC7LKqFuw_20_2"/>
      <w:bookmarkStart w:id="1152" w:name="Tc_Vhk7mNAbK0mhudyo6kaagQ_20_0"/>
      <w:bookmarkStart w:id="1153" w:name="Tc_1CUv00HewkGSxJQOH4nwfQ_19_4"/>
      <w:bookmarkStart w:id="1154" w:name="Tc_rAxoS4rZqkOiZ2uZcifrAA_19_2"/>
      <w:bookmarkStart w:id="1155" w:name="Tc_YFLL0hbE6UaMqVwmYwIslw_19_0"/>
      <w:bookmarkStart w:id="1156" w:name="Tc_B9TUah91xEKz1JtZLCkpTw_18_8"/>
      <w:bookmarkStart w:id="1157" w:name="Tc_k-XljHIEDkmEPjRHYzLNUA_18_6"/>
      <w:bookmarkStart w:id="1158" w:name="Tc_NFcN5tshlkSZarjzZllMmA_18_2"/>
      <w:bookmarkStart w:id="1159" w:name="Tc_B5bfonELBkaQYQpW7HA_2A_18_0"/>
      <w:bookmarkStart w:id="1160" w:name="Tc_fcAHhOGUw0qLCd9a4aJsBA_17_8"/>
      <w:bookmarkStart w:id="1161" w:name="Tc_R5J4CndYF0GL5naIBI2MmA_17_6"/>
      <w:bookmarkStart w:id="1162" w:name="Tc_CeY-Wqzl_EWFNZlZnTkwIQ_17_2"/>
      <w:bookmarkStart w:id="1163" w:name="Tc_GfWds5CaxUStl3jVKoakYQ_17_0"/>
      <w:bookmarkStart w:id="1164" w:name="Tc_mztdqAKqXUGpJOVr7CMlmA_16_0"/>
      <w:bookmarkStart w:id="1165" w:name="Tc_fjb60tMCl0md4dUASbe0UA_15_0"/>
      <w:bookmarkStart w:id="1166" w:name="Tc_PtZ1uq3PB0SCxlpiauPGNg_14_4"/>
      <w:bookmarkStart w:id="1167" w:name="Tc_ceraRhlrA0-K6QJoZpBHTw_14_0"/>
      <w:bookmarkStart w:id="1168" w:name="Tc_VGp3yjqsaEKlpX27l7OMTw_13_0"/>
      <w:bookmarkStart w:id="1169" w:name="Tc_fHTZC6bV30elfNIVoSSAaw_12_0"/>
      <w:bookmarkStart w:id="1170" w:name="Tc_LCYXHrNmo0S0GaNWpgNrgA_11_8"/>
      <w:bookmarkStart w:id="1171" w:name="Tc_AWlke5fiHUa6WtgUyqeCzg_11_6"/>
      <w:bookmarkStart w:id="1172" w:name="Tc_SDAXO7ENB0idkpFza4JDJA_11_4"/>
      <w:bookmarkStart w:id="1173" w:name="Tc_crgH6MB64Uq9DUok5EpDVQ_11_0"/>
      <w:bookmarkStart w:id="1174" w:name="Tc_AtUPndLqRUKyk3EDpj96jA_10_8"/>
      <w:bookmarkStart w:id="1175" w:name="Tc_odwhIuMgEEqGEfSDzAFdyw_10_6"/>
      <w:bookmarkStart w:id="1176" w:name="Tc_4B8G3EGgP06gIsQly1oXaQ_10_2"/>
      <w:bookmarkStart w:id="1177" w:name="Tc_l0PdbS0ENEKj43g-tjmrRg_10_0"/>
      <w:bookmarkStart w:id="1178" w:name="Tc_dXdXCHse50SsfHpmx-2HhQ_9_0"/>
      <w:bookmarkStart w:id="1179" w:name="Tc_Ku_k2tmEY0yA6-MZwQfVeA_8_0"/>
      <w:bookmarkStart w:id="1180" w:name="Tc_aLGx2KwY8UaMYHodh7n03g_7_0"/>
      <w:bookmarkStart w:id="1181" w:name="Tc_W07lUKqy302DVZSEBg0fbg_6_0"/>
      <w:bookmarkStart w:id="1182" w:name="Tc_0PnDmeKXgEmK7aIXLffNgA_5_0"/>
      <w:bookmarkStart w:id="1183" w:name="Tc_tbTKtQHhcEiYCZZuMtPGwg_4_8"/>
      <w:bookmarkStart w:id="1184" w:name="Tc_Sg_tVbwDQ0KeeRJK2jTQqw_3_8"/>
      <w:bookmarkStart w:id="1185" w:name="Tc_ptbJWmPvV0C_DVQ8RzEJZg_3_6"/>
      <w:bookmarkStart w:id="1186" w:name="Tc_rvZ6iaXSCEmFh3WsGI0oKQ_3_4"/>
      <w:bookmarkStart w:id="1187" w:name="Tc_1a_AflUpJkGxYAP9Wy6SCA_3_2"/>
      <w:bookmarkStart w:id="1188" w:name="Tc_6RYysl1lY0iZuoDThVOciw_2_8"/>
      <w:bookmarkStart w:id="1189" w:name="Tc_98Y1VS-j9UGag62ddrg-Ug_2_6"/>
      <w:bookmarkStart w:id="1190" w:name="Tc_9ZwpP0DyjkG2rP6zm6gH8w_2_4"/>
      <w:bookmarkStart w:id="1191" w:name="Tc_jaf3g0GacE2rcxc_0G1ntg_2_2"/>
      <w:bookmarkStart w:id="1192" w:name="Tc_6P2jbBe-uUiw1c2k7AFlkA_1_2"/>
      <w:bookmarkStart w:id="1193" w:name="_147ac4e4_d6dd_43fb_a2a0_24f2d2c90a0b"/>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tbl>
      <w:tblPr>
        <w:tblW w:w="10205" w:type="dxa"/>
        <w:jc w:val="left"/>
        <w:tblInd w:w="0" w:type="dxa"/>
        <w:tblCellMar>
          <w:top w:w="0" w:type="dxa"/>
          <w:left w:w="0" w:type="dxa"/>
          <w:bottom w:w="0" w:type="dxa"/>
          <w:right w:w="0" w:type="dxa"/>
        </w:tblCellMar>
      </w:tblPr>
      <w:tblGrid>
        <w:gridCol w:w="4882"/>
        <w:gridCol w:w="326"/>
        <w:gridCol w:w="1030"/>
        <w:gridCol w:w="326"/>
        <w:gridCol w:w="1030"/>
        <w:gridCol w:w="326"/>
        <w:gridCol w:w="1030"/>
        <w:gridCol w:w="326"/>
        <w:gridCol w:w="929"/>
      </w:tblGrid>
      <w:tr>
        <w:trPr/>
        <w:tc>
          <w:tcPr>
            <w:tcW w:w="4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100070" cy="175260"/>
                      <wp:effectExtent l="0" t="0" r="0" b="0"/>
                      <wp:wrapNone/>
                      <wp:docPr id="355" name="Frame347"/>
                      <a:graphic xmlns:a="http://schemas.openxmlformats.org/drawingml/2006/main">
                        <a:graphicData uri="http://schemas.microsoft.com/office/word/2010/wordprocessingShape">
                          <wps:wsp>
                            <wps:cNvSpPr txBox="1"/>
                            <wps:spPr>
                              <a:xfrm>
                                <a:off x="0" y="0"/>
                                <a:ext cx="310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54050" cy="175260"/>
                      <wp:effectExtent l="0" t="0" r="0" b="0"/>
                      <wp:wrapNone/>
                      <wp:docPr id="357" name="Frame349"/>
                      <a:graphic xmlns:a="http://schemas.openxmlformats.org/drawingml/2006/main">
                        <a:graphicData uri="http://schemas.microsoft.com/office/word/2010/wordprocessingShape">
                          <wps:wsp>
                            <wps:cNvSpPr txBox="1"/>
                            <wps:spPr>
                              <a:xfrm>
                                <a:off x="0" y="0"/>
                                <a:ext cx="65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54050" cy="175260"/>
                      <wp:effectExtent l="0" t="0" r="0" b="0"/>
                      <wp:wrapNone/>
                      <wp:docPr id="359" name="Frame351"/>
                      <a:graphic xmlns:a="http://schemas.openxmlformats.org/drawingml/2006/main">
                        <a:graphicData uri="http://schemas.microsoft.com/office/word/2010/wordprocessingShape">
                          <wps:wsp>
                            <wps:cNvSpPr txBox="1"/>
                            <wps:spPr>
                              <a:xfrm>
                                <a:off x="0" y="0"/>
                                <a:ext cx="65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54050" cy="175260"/>
                      <wp:effectExtent l="0" t="0" r="0" b="0"/>
                      <wp:wrapNone/>
                      <wp:docPr id="361" name="Frame353"/>
                      <a:graphic xmlns:a="http://schemas.openxmlformats.org/drawingml/2006/main">
                        <a:graphicData uri="http://schemas.microsoft.com/office/word/2010/wordprocessingShape">
                          <wps:wsp>
                            <wps:cNvSpPr txBox="1"/>
                            <wps:spPr>
                              <a:xfrm>
                                <a:off x="0" y="0"/>
                                <a:ext cx="65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89915" cy="175260"/>
                      <wp:effectExtent l="0" t="0" r="0" b="0"/>
                      <wp:wrapNone/>
                      <wp:docPr id="363" name="Frame355"/>
                      <a:graphic xmlns:a="http://schemas.openxmlformats.org/drawingml/2006/main">
                        <a:graphicData uri="http://schemas.microsoft.com/office/word/2010/wordprocessingShape">
                          <wps:wsp>
                            <wps:cNvSpPr txBox="1"/>
                            <wps:spPr>
                              <a:xfrm>
                                <a:off x="0" y="0"/>
                                <a:ext cx="589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99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8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92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w:t>
            </w:r>
          </w:p>
        </w:tc>
        <w:tc>
          <w:tcPr>
            <w:tcW w:w="92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USD ‘000</w:t>
            </w:r>
          </w:p>
        </w:tc>
      </w:tr>
      <w:tr>
        <w:trPr/>
        <w:tc>
          <w:tcPr>
            <w:tcW w:w="48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29"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2(d)</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pPr>
            <w:r>
              <w:rPr/>
              <w:t>​</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 for purchases of property and equipment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(112,750)</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(63,973)</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(36,425)</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 for purchases of intangible assets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(1,997)</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 for purchase of short-term investments</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(3,395,902)</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(4,303,920)</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(2,931,000)</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(424,955)</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Proceeds from maturities of short-term investments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3,419,348</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4,312,665</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2,778,005</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402,773</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Repayment of loans from third parties</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shd w:fill="auto" w:val="clear"/>
            <w:vAlign w:val="center"/>
          </w:tcPr>
          <w:p>
            <w:pPr>
              <w:pStyle w:val="TableContents"/>
              <w:spacing w:before="0" w:after="0"/>
              <w:ind w:left="0" w:right="0" w:hanging="0"/>
              <w:jc w:val="right"/>
              <w:rPr/>
            </w:pPr>
            <w:r>
              <w:rPr/>
              <w:t>—</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Loans to third parties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(105,527)</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(42,225)</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(192,225)</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(27,870)</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pPr>
            <w:r>
              <w:rPr/>
              <w:t>​</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Acquisition of non-controlling interest</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Proceeds from borrowings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127,507</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218,434</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199,000</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28,852</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Repayment of borrowings</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(78,716)</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(230,430)</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(134,480)</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(19,498)</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Repurchase of ordinary shares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(111,260)</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pPr>
            <w:r>
              <w:rPr/>
              <w:t>—</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to shareholders</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(20,645)</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shd w:fill="auto" w:val="clear"/>
            <w:vAlign w:val="center"/>
          </w:tcPr>
          <w:p>
            <w:pPr>
              <w:pStyle w:val="TableContents"/>
              <w:spacing w:before="0" w:after="0"/>
              <w:ind w:left="0" w:right="0" w:hanging="0"/>
              <w:jc w:val="right"/>
              <w:rPr/>
            </w:pPr>
            <w:r>
              <w:rPr/>
              <w:t>—</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Proceeds from initial public offering</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400,068</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58,005</w:t>
            </w:r>
          </w:p>
        </w:tc>
      </w:tr>
      <w:tr>
        <w:trPr/>
        <w:tc>
          <w:tcPr>
            <w:tcW w:w="48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Payment for initial public offering costs</w:t>
            </w:r>
          </w:p>
        </w:tc>
        <w:tc>
          <w:tcPr>
            <w:tcW w:w="326" w:type="dxa"/>
            <w:tcBorders/>
            <w:shd w:fill="auto" w:val="clear"/>
            <w:vAlign w:val="center"/>
          </w:tcPr>
          <w:p>
            <w:pPr>
              <w:pStyle w:val="TableContents"/>
              <w:spacing w:before="0" w:after="0"/>
              <w:ind w:left="0" w:right="0" w:hanging="0"/>
              <w:jc w:val="center"/>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(17,179)</w:t>
            </w:r>
          </w:p>
        </w:tc>
        <w:tc>
          <w:tcPr>
            <w:tcW w:w="326" w:type="dxa"/>
            <w:tcBorders/>
            <w:shd w:fill="auto"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(7,928)</w:t>
            </w:r>
          </w:p>
        </w:tc>
        <w:tc>
          <w:tcPr>
            <w:tcW w:w="326" w:type="dxa"/>
            <w:tcBorders/>
            <w:shd w:fill="auto" w:val="clear"/>
            <w:vAlign w:val="center"/>
          </w:tcPr>
          <w:p>
            <w:pPr>
              <w:pStyle w:val="TableContents"/>
              <w:spacing w:before="0" w:after="0"/>
              <w:ind w:left="0" w:right="0" w:hanging="0"/>
              <w:jc w:val="right"/>
              <w:rPr/>
            </w:pPr>
            <w:r>
              <w:rPr/>
              <w:t>​</w:t>
            </w:r>
          </w:p>
        </w:tc>
        <w:tc>
          <w:tcPr>
            <w:tcW w:w="9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488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Net cash generated from (used in) financing activities</w:t>
            </w:r>
          </w:p>
        </w:tc>
        <w:tc>
          <w:tcPr>
            <w:tcW w:w="326" w:type="dxa"/>
            <w:tcBorders/>
            <w:shd w:fill="CCEEFF" w:val="clear"/>
            <w:vAlign w:val="center"/>
          </w:tcPr>
          <w:p>
            <w:pPr>
              <w:pStyle w:val="TableContents"/>
              <w:spacing w:before="0" w:after="0"/>
              <w:ind w:left="0" w:right="0" w:hanging="0"/>
              <w:jc w:val="center"/>
              <w:rPr/>
            </w:pPr>
            <w:r>
              <w:rPr/>
              <w:t>​</w:t>
            </w:r>
          </w:p>
        </w:tc>
        <w:tc>
          <w:tcPr>
            <w:tcW w:w="10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48,011</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(161,080)</w:t>
            </w:r>
          </w:p>
        </w:tc>
        <w:tc>
          <w:tcPr>
            <w:tcW w:w="326" w:type="dxa"/>
            <w:tcBorders/>
            <w:shd w:fill="CCEEFF" w:val="clear"/>
            <w:vAlign w:val="center"/>
          </w:tcPr>
          <w:p>
            <w:pPr>
              <w:pStyle w:val="TableContents"/>
              <w:spacing w:before="0" w:after="0"/>
              <w:ind w:left="0" w:right="0" w:hanging="0"/>
              <w:jc w:val="right"/>
              <w:rPr/>
            </w:pPr>
            <w:r>
              <w:rPr/>
              <w:t>​</w:t>
            </w:r>
          </w:p>
        </w:tc>
        <w:tc>
          <w:tcPr>
            <w:tcW w:w="10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456,310</w:t>
            </w:r>
          </w:p>
        </w:tc>
        <w:tc>
          <w:tcPr>
            <w:tcW w:w="326" w:type="dxa"/>
            <w:tcBorders/>
            <w:shd w:fill="CCEEFF" w:val="clear"/>
            <w:vAlign w:val="center"/>
          </w:tcPr>
          <w:p>
            <w:pPr>
              <w:pStyle w:val="TableContents"/>
              <w:spacing w:before="0" w:after="0"/>
              <w:ind w:left="0" w:right="0" w:hanging="0"/>
              <w:jc w:val="right"/>
              <w:rPr/>
            </w:pPr>
            <w:r>
              <w:rPr/>
              <w:t>​</w:t>
            </w:r>
          </w:p>
        </w:tc>
        <w:tc>
          <w:tcPr>
            <w:tcW w:w="9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66,159</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Effect of exchange rate changes on cash and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(8,181)</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2,816</w:t>
            </w:r>
          </w:p>
        </w:tc>
        <w:tc>
          <w:tcPr>
            <w:tcW w:w="326" w:type="dxa"/>
            <w:tcBorders/>
            <w:shd w:fill="auto" w:val="clear"/>
            <w:vAlign w:val="center"/>
          </w:tcPr>
          <w:p>
            <w:pPr>
              <w:pStyle w:val="TableContents"/>
              <w:spacing w:before="0" w:after="0"/>
              <w:ind w:left="0" w:right="0" w:hanging="0"/>
              <w:rPr/>
            </w:pPr>
            <w:r>
              <w:rPr/>
              <w:t> </w:t>
            </w:r>
          </w:p>
        </w:tc>
        <w:tc>
          <w:tcPr>
            <w:tcW w:w="9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Net increase in cash and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61,154</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206,393</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550,578</w:t>
            </w:r>
          </w:p>
        </w:tc>
        <w:tc>
          <w:tcPr>
            <w:tcW w:w="326"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79,826</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restricted cash at the beginning of the year</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771,982</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833,136</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1,039,529</w:t>
            </w:r>
          </w:p>
        </w:tc>
        <w:tc>
          <w:tcPr>
            <w:tcW w:w="326" w:type="dxa"/>
            <w:tcBorders/>
            <w:shd w:fill="auto" w:val="clear"/>
            <w:vAlign w:val="center"/>
          </w:tcPr>
          <w:p>
            <w:pPr>
              <w:pStyle w:val="TableContents"/>
              <w:spacing w:before="0" w:after="0"/>
              <w:ind w:left="0" w:right="0" w:hanging="0"/>
              <w:rPr/>
            </w:pPr>
            <w:r>
              <w:rPr/>
              <w:t> </w:t>
            </w:r>
          </w:p>
        </w:tc>
        <w:tc>
          <w:tcPr>
            <w:tcW w:w="9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150,718</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restricted cash at the end of the year</w:t>
            </w:r>
          </w:p>
        </w:tc>
        <w:tc>
          <w:tcPr>
            <w:tcW w:w="326" w:type="dxa"/>
            <w:tcBorders/>
            <w:shd w:fill="CCEEFF" w:val="clear"/>
            <w:vAlign w:val="center"/>
          </w:tcPr>
          <w:p>
            <w:pPr>
              <w:pStyle w:val="TableContents"/>
              <w:spacing w:before="0" w:after="0"/>
              <w:ind w:left="0" w:right="0" w:hanging="0"/>
              <w:rPr/>
            </w:pPr>
            <w:r>
              <w:rPr/>
              <w:t> </w:t>
            </w:r>
          </w:p>
        </w:tc>
        <w:tc>
          <w:tcPr>
            <w:tcW w:w="10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833,136</w:t>
            </w:r>
          </w:p>
        </w:tc>
        <w:tc>
          <w:tcPr>
            <w:tcW w:w="326" w:type="dxa"/>
            <w:tcBorders/>
            <w:shd w:fill="CCEEFF" w:val="clear"/>
            <w:vAlign w:val="center"/>
          </w:tcPr>
          <w:p>
            <w:pPr>
              <w:pStyle w:val="TableContents"/>
              <w:spacing w:before="0" w:after="0"/>
              <w:ind w:left="0" w:right="0" w:hanging="0"/>
              <w:rPr/>
            </w:pPr>
            <w:r>
              <w:rPr/>
              <w:t> </w:t>
            </w:r>
          </w:p>
        </w:tc>
        <w:tc>
          <w:tcPr>
            <w:tcW w:w="10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1,039,529</w:t>
            </w:r>
          </w:p>
        </w:tc>
        <w:tc>
          <w:tcPr>
            <w:tcW w:w="326" w:type="dxa"/>
            <w:tcBorders/>
            <w:shd w:fill="CCEEFF" w:val="clear"/>
            <w:vAlign w:val="center"/>
          </w:tcPr>
          <w:p>
            <w:pPr>
              <w:pStyle w:val="TableContents"/>
              <w:spacing w:before="0" w:after="0"/>
              <w:ind w:left="0" w:right="0" w:hanging="0"/>
              <w:rPr/>
            </w:pPr>
            <w:r>
              <w:rPr/>
              <w:t> </w:t>
            </w:r>
          </w:p>
        </w:tc>
        <w:tc>
          <w:tcPr>
            <w:tcW w:w="10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1,590,107</w:t>
            </w:r>
          </w:p>
        </w:tc>
        <w:tc>
          <w:tcPr>
            <w:tcW w:w="326" w:type="dxa"/>
            <w:tcBorders/>
            <w:shd w:fill="CCEEFF" w:val="clear"/>
            <w:vAlign w:val="center"/>
          </w:tcPr>
          <w:p>
            <w:pPr>
              <w:pStyle w:val="TableContents"/>
              <w:spacing w:before="0" w:after="0"/>
              <w:ind w:left="0" w:right="0" w:hanging="0"/>
              <w:rPr/>
            </w:pPr>
            <w:r>
              <w:rPr/>
              <w:t> </w:t>
            </w:r>
          </w:p>
        </w:tc>
        <w:tc>
          <w:tcPr>
            <w:tcW w:w="92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230,544</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29" w:type="dxa"/>
            <w:tcBorders/>
            <w:shd w:fill="auto" w:val="clear"/>
            <w:vAlign w:val="center"/>
          </w:tcPr>
          <w:p>
            <w:pPr>
              <w:pStyle w:val="TableContents"/>
              <w:spacing w:before="0" w:after="0"/>
              <w:ind w:left="0" w:right="0" w:hanging="0"/>
              <w:jc w:val="right"/>
              <w:rPr/>
            </w:pPr>
            <w:r>
              <w:rPr/>
              <w:t>  </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Income tax paid</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38,955</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88,946</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82,784</w:t>
            </w:r>
          </w:p>
        </w:tc>
        <w:tc>
          <w:tcPr>
            <w:tcW w:w="326"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12,003</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Interest paid</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5,701</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c>
          <w:tcPr>
            <w:tcW w:w="326" w:type="dxa"/>
            <w:tcBorders/>
            <w:shd w:fill="auto" w:val="clear"/>
            <w:vAlign w:val="center"/>
          </w:tcPr>
          <w:p>
            <w:pPr>
              <w:pStyle w:val="TableContents"/>
              <w:spacing w:before="0" w:after="0"/>
              <w:ind w:left="0" w:right="0" w:hanging="0"/>
              <w:rPr/>
            </w:pPr>
            <w:r>
              <w:rPr/>
              <w:t> </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jc w:val="right"/>
              <w:rPr/>
            </w:pPr>
            <w:r>
              <w:rPr/>
              <w:t>  </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Payable for purchase of property and equipment</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41,941</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38,357</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12,617</w:t>
            </w:r>
          </w:p>
        </w:tc>
        <w:tc>
          <w:tcPr>
            <w:tcW w:w="326" w:type="dxa"/>
            <w:tcBorders/>
            <w:shd w:fill="auto" w:val="clear"/>
            <w:vAlign w:val="center"/>
          </w:tcPr>
          <w:p>
            <w:pPr>
              <w:pStyle w:val="TableContents"/>
              <w:spacing w:before="0" w:after="0"/>
              <w:ind w:left="0" w:right="0" w:hanging="0"/>
              <w:rPr/>
            </w:pPr>
            <w:r>
              <w:rPr/>
              <w:t> </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Interest payable</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2,414</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3,130</w:t>
            </w:r>
          </w:p>
        </w:tc>
        <w:tc>
          <w:tcPr>
            <w:tcW w:w="326"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Payable for initial public offering costs</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9,177</w:t>
            </w:r>
          </w:p>
        </w:tc>
        <w:tc>
          <w:tcPr>
            <w:tcW w:w="326" w:type="dxa"/>
            <w:tcBorders/>
            <w:shd w:fill="auto" w:val="clear"/>
            <w:vAlign w:val="center"/>
          </w:tcPr>
          <w:p>
            <w:pPr>
              <w:pStyle w:val="TableContents"/>
              <w:spacing w:before="0" w:after="0"/>
              <w:ind w:left="0" w:right="0" w:hanging="0"/>
              <w:rPr/>
            </w:pPr>
            <w:r>
              <w:rPr/>
              <w:t> </w:t>
            </w:r>
          </w:p>
        </w:tc>
        <w:tc>
          <w:tcPr>
            <w:tcW w:w="9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Accretion to the redemption value of redeemable Series A shares</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52,881</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15,115</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jc w:val="right"/>
              <w:rPr/>
            </w:pPr>
            <w:r>
              <w:rPr/>
              <w:t>—</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and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29" w:type="dxa"/>
            <w:tcBorders/>
            <w:shd w:fill="auto" w:val="clear"/>
            <w:vAlign w:val="center"/>
          </w:tcPr>
          <w:p>
            <w:pPr>
              <w:pStyle w:val="TableContents"/>
              <w:spacing w:before="0" w:after="0"/>
              <w:ind w:left="0" w:right="0" w:hanging="0"/>
              <w:jc w:val="right"/>
              <w:rPr/>
            </w:pPr>
            <w:r>
              <w:rPr/>
              <w:t>  </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824,546</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1,038,583</w:t>
            </w:r>
          </w:p>
        </w:tc>
        <w:tc>
          <w:tcPr>
            <w:tcW w:w="326"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1,589,161</w:t>
            </w:r>
          </w:p>
        </w:tc>
        <w:tc>
          <w:tcPr>
            <w:tcW w:w="326" w:type="dxa"/>
            <w:tcBorders/>
            <w:shd w:fill="CCEEFF" w:val="clear"/>
            <w:vAlign w:val="center"/>
          </w:tcPr>
          <w:p>
            <w:pPr>
              <w:pStyle w:val="TableContents"/>
              <w:spacing w:before="0" w:after="0"/>
              <w:ind w:left="0" w:right="0" w:hanging="0"/>
              <w:rPr/>
            </w:pPr>
            <w:r>
              <w:rPr/>
              <w:t> </w:t>
            </w:r>
          </w:p>
        </w:tc>
        <w:tc>
          <w:tcPr>
            <w:tcW w:w="9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230,407</w:t>
            </w:r>
          </w:p>
        </w:tc>
      </w:tr>
      <w:tr>
        <w:trPr/>
        <w:tc>
          <w:tcPr>
            <w:tcW w:w="4882"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8,590</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26" w:type="dxa"/>
            <w:tcBorders/>
            <w:shd w:fill="auto" w:val="clear"/>
            <w:vAlign w:val="center"/>
          </w:tcPr>
          <w:p>
            <w:pPr>
              <w:pStyle w:val="TableContents"/>
              <w:spacing w:before="0" w:after="0"/>
              <w:ind w:left="0" w:right="0" w:hanging="0"/>
              <w:rPr/>
            </w:pPr>
            <w:r>
              <w:rPr/>
              <w:t> </w:t>
            </w:r>
          </w:p>
        </w:tc>
        <w:tc>
          <w:tcPr>
            <w:tcW w:w="10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26" w:type="dxa"/>
            <w:tcBorders/>
            <w:shd w:fill="auto" w:val="clear"/>
            <w:vAlign w:val="center"/>
          </w:tcPr>
          <w:p>
            <w:pPr>
              <w:pStyle w:val="TableContents"/>
              <w:spacing w:before="0" w:after="0"/>
              <w:ind w:left="0" w:right="0" w:hanging="0"/>
              <w:rPr/>
            </w:pPr>
            <w:r>
              <w:rPr/>
              <w:t> </w:t>
            </w:r>
          </w:p>
        </w:tc>
        <w:tc>
          <w:tcPr>
            <w:tcW w:w="9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4882" w:type="dxa"/>
            <w:tcBorders/>
            <w:shd w:fill="CCEEFF"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10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833,136</w:t>
            </w:r>
          </w:p>
        </w:tc>
        <w:tc>
          <w:tcPr>
            <w:tcW w:w="326" w:type="dxa"/>
            <w:tcBorders/>
            <w:shd w:fill="CCEEFF" w:val="clear"/>
            <w:vAlign w:val="center"/>
          </w:tcPr>
          <w:p>
            <w:pPr>
              <w:pStyle w:val="TableContents"/>
              <w:spacing w:before="0" w:after="0"/>
              <w:ind w:left="0" w:right="0" w:hanging="0"/>
              <w:rPr/>
            </w:pPr>
            <w:r>
              <w:rPr/>
              <w:t> </w:t>
            </w:r>
          </w:p>
        </w:tc>
        <w:tc>
          <w:tcPr>
            <w:tcW w:w="10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1,039,529</w:t>
            </w:r>
          </w:p>
        </w:tc>
        <w:tc>
          <w:tcPr>
            <w:tcW w:w="326" w:type="dxa"/>
            <w:tcBorders/>
            <w:shd w:fill="CCEEFF" w:val="clear"/>
            <w:vAlign w:val="center"/>
          </w:tcPr>
          <w:p>
            <w:pPr>
              <w:pStyle w:val="TableContents"/>
              <w:spacing w:before="0" w:after="0"/>
              <w:ind w:left="0" w:right="0" w:hanging="0"/>
              <w:rPr/>
            </w:pPr>
            <w:r>
              <w:rPr/>
              <w:t> </w:t>
            </w:r>
          </w:p>
        </w:tc>
        <w:tc>
          <w:tcPr>
            <w:tcW w:w="10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1,590,107</w:t>
            </w:r>
          </w:p>
        </w:tc>
        <w:tc>
          <w:tcPr>
            <w:tcW w:w="326" w:type="dxa"/>
            <w:tcBorders/>
            <w:shd w:fill="CCEEFF" w:val="clear"/>
            <w:vAlign w:val="center"/>
          </w:tcPr>
          <w:p>
            <w:pPr>
              <w:pStyle w:val="TableContents"/>
              <w:spacing w:before="0" w:after="0"/>
              <w:ind w:left="0" w:right="0" w:hanging="0"/>
              <w:rPr/>
            </w:pPr>
            <w:r>
              <w:rPr/>
              <w:t> </w:t>
            </w:r>
          </w:p>
        </w:tc>
        <w:tc>
          <w:tcPr>
            <w:tcW w:w="92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230,544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center"/>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center"/>
        <w:rPr>
          <w:rFonts w:ascii="Times New Roman;Times;serif" w:hAnsi="Times New Roman;Times;serif"/>
          <w:b/>
          <w:sz w:val="20"/>
        </w:rPr>
      </w:pPr>
      <w:bookmarkStart w:id="1194" w:name="_97e0da6d_e841_48df_af7d_61f678dc035f"/>
      <w:bookmarkEnd w:id="1194"/>
      <w:r>
        <w:rPr>
          <w:rFonts w:ascii="Times New Roman;Times;serif" w:hAnsi="Times New Roman;Times;serif"/>
          <w:b/>
          <w:sz w:val="20"/>
        </w:rPr>
        <w:t>ATOUR LIFESTYLE HOLDINGS LIMITED</w:t>
      </w:r>
    </w:p>
    <w:p>
      <w:pPr>
        <w:pStyle w:val="TextBody"/>
        <w:spacing w:before="0" w:after="120"/>
        <w:ind w:left="0" w:right="0" w:hanging="0"/>
        <w:jc w:val="center"/>
        <w:rPr>
          <w:rFonts w:ascii="Times New Roman;Times;serif" w:hAnsi="Times New Roman;Times;serif"/>
          <w:b/>
          <w:sz w:val="20"/>
        </w:rPr>
      </w:pPr>
      <w:bookmarkStart w:id="1195" w:name="NOTESTOTHECONSOLIDATEDFINANCIALSTATEMENT"/>
      <w:bookmarkEnd w:id="1195"/>
      <w:r>
        <w:rPr>
          <w:rFonts w:ascii="Times New Roman;Times;serif" w:hAnsi="Times New Roman;Times;serif"/>
          <w:b/>
          <w:sz w:val="20"/>
        </w:rPr>
        <w:t>NOTES TO THE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of RMB, except share data and per share data, or otherwise noted)</w:t>
      </w:r>
    </w:p>
    <w:p>
      <w:pPr>
        <w:pStyle w:val="Normal"/>
        <w:spacing w:before="0" w:after="0"/>
        <w:rPr>
          <w:sz w:val="4"/>
          <w:szCs w:val="4"/>
        </w:rPr>
      </w:pPr>
      <w:r>
        <w:rPr>
          <w:sz w:val="4"/>
          <w:szCs w:val="4"/>
        </w:rPr>
      </w:r>
      <w:bookmarkStart w:id="1196" w:name="Tc_9CVmELwblkiBbvzUDPqJuA_12_8"/>
      <w:bookmarkStart w:id="1197" w:name="Tc_YfJngjCRFUKfJSwOgo3fmQ_12_6"/>
      <w:bookmarkStart w:id="1198" w:name="Tc_caULYBR6GE2KCN24YeYH8A_12_4"/>
      <w:bookmarkStart w:id="1199" w:name="Tc_jJnQ9Vmm-USqVgOSJNIDCA_12_0"/>
      <w:bookmarkStart w:id="1200" w:name="Tc_4VugRwBPnEWT7eKHfTfKGA_11_8"/>
      <w:bookmarkStart w:id="1201" w:name="Tc_e1mm4EiTAk2lWv6xzU2P6A_11_6"/>
      <w:bookmarkStart w:id="1202" w:name="Tc_M-ImQULhXUW-nfMVHbcc6A_11_4"/>
      <w:bookmarkStart w:id="1203" w:name="Tc_YQdCwBsl8UmGgW966GYtxQ_11_0"/>
      <w:bookmarkStart w:id="1204" w:name="Tc_aKamP8WBA0SgaSkHZta7Nw_10_8"/>
      <w:bookmarkStart w:id="1205" w:name="Tc_remn_V59YkuS0FvpIhxlBA_10_6"/>
      <w:bookmarkStart w:id="1206" w:name="Tc_bTmkv0WPX0evGyWcGACwfQ_10_4"/>
      <w:bookmarkStart w:id="1207" w:name="Tc_M_3l52M8GUyvG-bPcwBTbg_10_0"/>
      <w:bookmarkStart w:id="1208" w:name="Tc_nai2FlWQk0WHtZOXhidanw_9_8"/>
      <w:bookmarkStart w:id="1209" w:name="Tc_3N5NExRCkEi23r0evxlCKQ_9_6"/>
      <w:bookmarkStart w:id="1210" w:name="Tc_pua1dMshxEmr14rAcImZ7w_9_4"/>
      <w:bookmarkStart w:id="1211" w:name="Tc_bWOUDXGQ4EKtJb3_Cmwwlw_9_0"/>
      <w:bookmarkStart w:id="1212" w:name="Tc_Sqt7lc78B0udqrkWJDNzoQ_8_8"/>
      <w:bookmarkStart w:id="1213" w:name="Tc_NQyI5PfsHkSMS0OGXJoCnw_8_6"/>
      <w:bookmarkStart w:id="1214" w:name="Tc_-tk8m9RkfEiepcI5ZwqdUQ_8_4"/>
      <w:bookmarkStart w:id="1215" w:name="Tc_RhbA7ceL7kOufD49r9wq7Q_8_0"/>
      <w:bookmarkStart w:id="1216" w:name="Tc_BDtw6HLTBkqyJv0wv8HV_g_7_8"/>
      <w:bookmarkStart w:id="1217" w:name="Tc__aBUBcpviE2Mt0fqzu1JYg_7_6"/>
      <w:bookmarkStart w:id="1218" w:name="Tc_6qvmv1tAy0KqUBeFr6d62A_7_4"/>
      <w:bookmarkStart w:id="1219" w:name="Tc_YzH_moO-z0uxTdXYYYndwQ_7_0"/>
      <w:bookmarkStart w:id="1220" w:name="Tc_ufsPplXh50yCsIAPEXCfMg_6_8"/>
      <w:bookmarkStart w:id="1221" w:name="Tc_wT6NdKqWAU-AfTc9FAXTRA_6_6"/>
      <w:bookmarkStart w:id="1222" w:name="Tc_PTyHy6h0Lk2NwU2fY-pYuA_6_4"/>
      <w:bookmarkStart w:id="1223" w:name="Tc_UsdFxhzRQEa-QY_E0Tfskg_6_0"/>
      <w:bookmarkStart w:id="1224" w:name="Tc_Jkfr_evq2E-JgXY22G9pFQ_5_8"/>
      <w:bookmarkStart w:id="1225" w:name="Tc_nFya96qFEUKTevLxw719fg_5_6"/>
      <w:bookmarkStart w:id="1226" w:name="Tc_-aETGfRG70m58R-B7M2zQA_5_4"/>
      <w:bookmarkStart w:id="1227" w:name="Tc_6oq23WqPuUW1HXpGLO6i3A_5_0"/>
      <w:bookmarkStart w:id="1228" w:name="Tc_5FfskeAOjE6Uz2QTlm9UuQ_4_8"/>
      <w:bookmarkStart w:id="1229" w:name="Tc_-3M9q9z6BE-1KckhGvz32w_4_6"/>
      <w:bookmarkStart w:id="1230" w:name="Tc_UtuznC2kE0GSZqb0W91WfQ_4_4"/>
      <w:bookmarkStart w:id="1231" w:name="Tc_asrGMQDIDEOmEjERlPgGxg_4_2"/>
      <w:bookmarkStart w:id="1232" w:name="Tc_JdN4pGT3MkGpVCfp3ojn1g_4_0"/>
      <w:bookmarkStart w:id="1233" w:name="Tc_JWhvu0Vpu0u1zTYt8ulkmQ_3_8"/>
      <w:bookmarkStart w:id="1234" w:name="Tc_c6uwEq_0_0-PL925B__b-w_3_6"/>
      <w:bookmarkStart w:id="1235" w:name="Tc_vwZZb0bTAEy09yr_3ANOUw_3_4"/>
      <w:bookmarkStart w:id="1236" w:name="Tc_BohMhcQhG0SaWc7jJdg2NQ_3_2"/>
      <w:bookmarkStart w:id="1237" w:name="Tc_0M-HKt9ad0OxJb9v-rycCg_2_4"/>
      <w:bookmarkStart w:id="1238" w:name="Tc_lgzYXo0EhUOt2LpDEorGeg_1_4"/>
      <w:bookmarkStart w:id="1239" w:name="_d94fccf1_74ff_4146_9af3_b6765af77227"/>
      <w:bookmarkStart w:id="1240" w:name="Tc_9CVmELwblkiBbvzUDPqJuA_12_8"/>
      <w:bookmarkStart w:id="1241" w:name="Tc_YfJngjCRFUKfJSwOgo3fmQ_12_6"/>
      <w:bookmarkStart w:id="1242" w:name="Tc_caULYBR6GE2KCN24YeYH8A_12_4"/>
      <w:bookmarkStart w:id="1243" w:name="Tc_jJnQ9Vmm-USqVgOSJNIDCA_12_0"/>
      <w:bookmarkStart w:id="1244" w:name="Tc_4VugRwBPnEWT7eKHfTfKGA_11_8"/>
      <w:bookmarkStart w:id="1245" w:name="Tc_e1mm4EiTAk2lWv6xzU2P6A_11_6"/>
      <w:bookmarkStart w:id="1246" w:name="Tc_M-ImQULhXUW-nfMVHbcc6A_11_4"/>
      <w:bookmarkStart w:id="1247" w:name="Tc_YQdCwBsl8UmGgW966GYtxQ_11_0"/>
      <w:bookmarkStart w:id="1248" w:name="Tc_aKamP8WBA0SgaSkHZta7Nw_10_8"/>
      <w:bookmarkStart w:id="1249" w:name="Tc_remn_V59YkuS0FvpIhxlBA_10_6"/>
      <w:bookmarkStart w:id="1250" w:name="Tc_bTmkv0WPX0evGyWcGACwfQ_10_4"/>
      <w:bookmarkStart w:id="1251" w:name="Tc_M_3l52M8GUyvG-bPcwBTbg_10_0"/>
      <w:bookmarkStart w:id="1252" w:name="Tc_nai2FlWQk0WHtZOXhidanw_9_8"/>
      <w:bookmarkStart w:id="1253" w:name="Tc_3N5NExRCkEi23r0evxlCKQ_9_6"/>
      <w:bookmarkStart w:id="1254" w:name="Tc_pua1dMshxEmr14rAcImZ7w_9_4"/>
      <w:bookmarkStart w:id="1255" w:name="Tc_bWOUDXGQ4EKtJb3_Cmwwlw_9_0"/>
      <w:bookmarkStart w:id="1256" w:name="Tc_Sqt7lc78B0udqrkWJDNzoQ_8_8"/>
      <w:bookmarkStart w:id="1257" w:name="Tc_NQyI5PfsHkSMS0OGXJoCnw_8_6"/>
      <w:bookmarkStart w:id="1258" w:name="Tc_-tk8m9RkfEiepcI5ZwqdUQ_8_4"/>
      <w:bookmarkStart w:id="1259" w:name="Tc_RhbA7ceL7kOufD49r9wq7Q_8_0"/>
      <w:bookmarkStart w:id="1260" w:name="Tc_BDtw6HLTBkqyJv0wv8HV_g_7_8"/>
      <w:bookmarkStart w:id="1261" w:name="Tc__aBUBcpviE2Mt0fqzu1JYg_7_6"/>
      <w:bookmarkStart w:id="1262" w:name="Tc_6qvmv1tAy0KqUBeFr6d62A_7_4"/>
      <w:bookmarkStart w:id="1263" w:name="Tc_YzH_moO-z0uxTdXYYYndwQ_7_0"/>
      <w:bookmarkStart w:id="1264" w:name="Tc_ufsPplXh50yCsIAPEXCfMg_6_8"/>
      <w:bookmarkStart w:id="1265" w:name="Tc_wT6NdKqWAU-AfTc9FAXTRA_6_6"/>
      <w:bookmarkStart w:id="1266" w:name="Tc_PTyHy6h0Lk2NwU2fY-pYuA_6_4"/>
      <w:bookmarkStart w:id="1267" w:name="Tc_UsdFxhzRQEa-QY_E0Tfskg_6_0"/>
      <w:bookmarkStart w:id="1268" w:name="Tc_Jkfr_evq2E-JgXY22G9pFQ_5_8"/>
      <w:bookmarkStart w:id="1269" w:name="Tc_nFya96qFEUKTevLxw719fg_5_6"/>
      <w:bookmarkStart w:id="1270" w:name="Tc_-aETGfRG70m58R-B7M2zQA_5_4"/>
      <w:bookmarkStart w:id="1271" w:name="Tc_6oq23WqPuUW1HXpGLO6i3A_5_0"/>
      <w:bookmarkStart w:id="1272" w:name="Tc_5FfskeAOjE6Uz2QTlm9UuQ_4_8"/>
      <w:bookmarkStart w:id="1273" w:name="Tc_-3M9q9z6BE-1KckhGvz32w_4_6"/>
      <w:bookmarkStart w:id="1274" w:name="Tc_UtuznC2kE0GSZqb0W91WfQ_4_4"/>
      <w:bookmarkStart w:id="1275" w:name="Tc_asrGMQDIDEOmEjERlPgGxg_4_2"/>
      <w:bookmarkStart w:id="1276" w:name="Tc_JdN4pGT3MkGpVCfp3ojn1g_4_0"/>
      <w:bookmarkStart w:id="1277" w:name="Tc_JWhvu0Vpu0u1zTYt8ulkmQ_3_8"/>
      <w:bookmarkStart w:id="1278" w:name="Tc_c6uwEq_0_0-PL925B__b-w_3_6"/>
      <w:bookmarkStart w:id="1279" w:name="Tc_vwZZb0bTAEy09yr_3ANOUw_3_4"/>
      <w:bookmarkStart w:id="1280" w:name="Tc_BohMhcQhG0SaWc7jJdg2NQ_3_2"/>
      <w:bookmarkStart w:id="1281" w:name="Tc_0M-HKt9ad0OxJb9v-rycCg_2_4"/>
      <w:bookmarkStart w:id="1282" w:name="Tc_lgzYXo0EhUOt2LpDEorGeg_1_4"/>
      <w:bookmarkStart w:id="1283" w:name="_d94fccf1_74ff_4146_9af3_b6765af77227"/>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tbl>
      <w:tblPr>
        <w:tblW w:w="4142" w:type="dxa"/>
        <w:jc w:val="left"/>
        <w:tblInd w:w="0" w:type="dxa"/>
        <w:tblCellMar>
          <w:top w:w="0" w:type="dxa"/>
          <w:left w:w="0" w:type="dxa"/>
          <w:bottom w:w="0" w:type="dxa"/>
          <w:right w:w="0" w:type="dxa"/>
        </w:tblCellMar>
      </w:tblPr>
      <w:tblGrid>
        <w:gridCol w:w="271"/>
        <w:gridCol w:w="387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w:t>
            </w:r>
          </w:p>
        </w:tc>
        <w:tc>
          <w:tcPr>
            <w:tcW w:w="38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Description of the business and organization</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Description of the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Atour Lifestyle Holdings Limited (“Atour Lifestyle” or the “Company”), is a holding company incorporated in the Cayman Islands. The Company conducts its business through its subsidiary, Shanghai Atour Business Management (Group) Co., Ltd. (“Atour Shanghai”), and the subsidiaries of Atour Shanghai (“together referred to as the “Group”). The principal business activities of the Group are to develop lifestyle brands around hotel offerings in the People’s Republic of China (the “PRC”). On November 11, 2022, the Company completed its IPO on NASDAQ in the United States under the stock code "ATAT".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Manachised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Manachised hotels refers to franchised-and-managed hotels. Typically the Group enters into certain franchise and management arrangements with franchisees for which the Group is responsible for providing branding, appointing and training of the hotel managers, and various other management services. Under typical franchise and management agreements, the franchisee is required to pay an upfront franchise fee and ongoing franchise and management service fees, the majority of which are determined based on a certain percentage of the revenues of the hotel. The franchisee is responsible for hotel construction, renovation and maintenance. The term of the franchise and management agreements are typically </w:t>
      </w:r>
      <w:r>
        <w:rPr>
          <w:rFonts w:ascii="Times New Roman;Times;serif" w:hAnsi="Times New Roman;Times;serif"/>
          <w:b w:val="false"/>
          <w:i w:val="false"/>
          <w:caps w:val="false"/>
          <w:smallCaps w:val="false"/>
          <w:sz w:val="20"/>
        </w:rPr>
        <w:t>eight</w:t>
      </w:r>
      <w:r>
        <w:rPr>
          <w:rFonts w:ascii="Times New Roman;Times;serif" w:hAnsi="Times New Roman;Times;serif"/>
          <w:sz w:val="20"/>
        </w:rPr>
        <w:t xml:space="preserve"> to fifteen years.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Leased hotels refer to the hotels that the Group operates and manages and where the properties are leased from third party lessors. The Group is responsible for hotel development and customization to conform to the Group’s standards, as well as for repairs and maintenance and operating costs and expenses of properties over the term of the lease. The Group is also responsible for all aspects of hotel operations and management, including hiring, training and supervising the hotel managers and employees required to operate our hotels and purchasing supplies.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December 31, 2022, the subsidiaries of the Company are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54"/>
        <w:gridCol w:w="326"/>
        <w:gridCol w:w="1156"/>
        <w:gridCol w:w="326"/>
        <w:gridCol w:w="1373"/>
        <w:gridCol w:w="326"/>
        <w:gridCol w:w="1126"/>
        <w:gridCol w:w="326"/>
        <w:gridCol w:w="2192"/>
      </w:tblGrid>
      <w:tr>
        <w:trPr/>
        <w:tc>
          <w:tcPr>
            <w:tcW w:w="30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939290" cy="175260"/>
                      <wp:effectExtent l="0" t="0" r="0" b="0"/>
                      <wp:wrapNone/>
                      <wp:docPr id="364" name="Frame356"/>
                      <a:graphic xmlns:a="http://schemas.openxmlformats.org/drawingml/2006/main">
                        <a:graphicData uri="http://schemas.microsoft.com/office/word/2010/wordprocessingShape">
                          <wps:wsp>
                            <wps:cNvSpPr txBox="1"/>
                            <wps:spPr>
                              <a:xfrm>
                                <a:off x="0" y="0"/>
                                <a:ext cx="1939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734060" cy="175260"/>
                      <wp:effectExtent l="0" t="0" r="0" b="0"/>
                      <wp:wrapNone/>
                      <wp:docPr id="366" name="Frame35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871855" cy="175260"/>
                      <wp:effectExtent l="0" t="0" r="0" b="0"/>
                      <wp:wrapNone/>
                      <wp:docPr id="368" name="Frame360"/>
                      <a:graphic xmlns:a="http://schemas.openxmlformats.org/drawingml/2006/main">
                        <a:graphicData uri="http://schemas.microsoft.com/office/word/2010/wordprocessingShape">
                          <wps:wsp>
                            <wps:cNvSpPr txBox="1"/>
                            <wps:spPr>
                              <a:xfrm>
                                <a:off x="0" y="0"/>
                                <a:ext cx="871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15010" cy="175260"/>
                      <wp:effectExtent l="0" t="0" r="0" b="0"/>
                      <wp:wrapNone/>
                      <wp:docPr id="370" name="Frame362"/>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91920" cy="175260"/>
                      <wp:effectExtent l="0" t="0" r="0" b="0"/>
                      <wp:wrapNone/>
                      <wp:docPr id="372" name="Frame364"/>
                      <a:graphic xmlns:a="http://schemas.openxmlformats.org/drawingml/2006/main">
                        <a:graphicData uri="http://schemas.microsoft.com/office/word/2010/wordprocessingShape">
                          <wps:wsp>
                            <wps:cNvSpPr txBox="1"/>
                            <wps:spPr>
                              <a:xfrm>
                                <a:off x="0" y="0"/>
                                <a:ext cx="1391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92" w:type="dxa"/>
            <w:tcBorders/>
            <w:shd w:fill="auto" w:val="clear"/>
            <w:vAlign w:val="center"/>
          </w:tcPr>
          <w:p>
            <w:pPr>
              <w:pStyle w:val="TableContents"/>
              <w:spacing w:before="0" w:after="0"/>
              <w:ind w:left="0" w:right="0" w:hanging="0"/>
              <w:jc w:val="center"/>
              <w:rPr/>
            </w:pPr>
            <w:r>
              <w:rPr/>
              <w:t>​</w:t>
            </w:r>
          </w:p>
        </w:tc>
      </w:tr>
      <w:tr>
        <w:trPr/>
        <w:tc>
          <w:tcPr>
            <w:tcW w:w="30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92" w:type="dxa"/>
            <w:tcBorders/>
            <w:shd w:fill="auto" w:val="clear"/>
            <w:vAlign w:val="center"/>
          </w:tcPr>
          <w:p>
            <w:pPr>
              <w:pStyle w:val="TableContents"/>
              <w:spacing w:before="0" w:after="0"/>
              <w:ind w:left="0" w:right="0" w:hanging="0"/>
              <w:jc w:val="center"/>
              <w:rPr/>
            </w:pPr>
            <w:r>
              <w:rPr/>
              <w:t>​</w:t>
            </w:r>
          </w:p>
        </w:tc>
      </w:tr>
      <w:tr>
        <w:trPr/>
        <w:tc>
          <w:tcPr>
            <w:tcW w:w="30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w:t>
            </w:r>
          </w:p>
        </w:tc>
        <w:tc>
          <w:tcPr>
            <w:tcW w:w="326" w:type="dxa"/>
            <w:tcBorders/>
            <w:shd w:fill="auto" w:val="clear"/>
            <w:vAlign w:val="center"/>
          </w:tcPr>
          <w:p>
            <w:pPr>
              <w:pStyle w:val="TableContents"/>
              <w:spacing w:before="0" w:after="0"/>
              <w:ind w:left="0" w:right="0" w:hanging="0"/>
              <w:rPr/>
            </w:pPr>
            <w:r>
              <w:rPr/>
              <w:t>​</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Merger or</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w:t>
            </w:r>
          </w:p>
        </w:tc>
        <w:tc>
          <w:tcPr>
            <w:tcW w:w="326" w:type="dxa"/>
            <w:tcBorders/>
            <w:shd w:fill="auto" w:val="clear"/>
            <w:vAlign w:val="center"/>
          </w:tcPr>
          <w:p>
            <w:pPr>
              <w:pStyle w:val="TableContents"/>
              <w:spacing w:before="0" w:after="0"/>
              <w:ind w:left="0" w:right="0" w:hanging="0"/>
              <w:jc w:val="center"/>
              <w:rPr/>
            </w:pPr>
            <w:r>
              <w:rPr/>
              <w:t>​</w:t>
            </w:r>
          </w:p>
        </w:tc>
        <w:tc>
          <w:tcPr>
            <w:tcW w:w="21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Major </w:t>
            </w:r>
          </w:p>
        </w:tc>
      </w:tr>
      <w:tr>
        <w:trPr/>
        <w:tc>
          <w:tcPr>
            <w:tcW w:w="3054"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shd w:fill="auto" w:val="clear"/>
            <w:vAlign w:val="center"/>
          </w:tcPr>
          <w:p>
            <w:pPr>
              <w:pStyle w:val="TableContents"/>
              <w:spacing w:before="0" w:after="0"/>
              <w:ind w:left="0" w:right="0" w:hanging="0"/>
              <w:rPr/>
            </w:pPr>
            <w:r>
              <w:rPr/>
              <w:t>​</w:t>
            </w:r>
          </w:p>
        </w:tc>
        <w:tc>
          <w:tcPr>
            <w:tcW w:w="137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shd w:fill="auto" w:val="clear"/>
            <w:vAlign w:val="center"/>
          </w:tcPr>
          <w:p>
            <w:pPr>
              <w:pStyle w:val="TableContents"/>
              <w:spacing w:before="0" w:after="0"/>
              <w:ind w:left="0" w:right="0" w:hanging="0"/>
              <w:jc w:val="center"/>
              <w:rPr/>
            </w:pPr>
            <w:r>
              <w:rPr/>
              <w:t>​</w:t>
            </w:r>
          </w:p>
        </w:tc>
        <w:tc>
          <w:tcPr>
            <w:tcW w:w="21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w:t>
            </w:r>
          </w:p>
        </w:tc>
      </w:tr>
      <w:tr>
        <w:trPr/>
        <w:tc>
          <w:tcPr>
            <w:tcW w:w="30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Atour (Tianjin) Hotel Management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37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August 30, 2012</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19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0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Atour Business Management (Group) Co., Ltd.</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February 17,2013</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jc w:val="center"/>
              <w:rPr/>
            </w:pPr>
            <w:r>
              <w:rPr/>
              <w:t>​</w:t>
            </w:r>
          </w:p>
        </w:tc>
        <w:tc>
          <w:tcPr>
            <w:tcW w:w="219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0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Xi’an Jiaduo Hotel Management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37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August 30, 2013</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19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0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Gongyu (Shanghai) Culture Communication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02, 2014</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19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Retail management</w:t>
            </w:r>
          </w:p>
        </w:tc>
      </w:tr>
      <w:tr>
        <w:trPr/>
        <w:tc>
          <w:tcPr>
            <w:tcW w:w="30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Qingju Investment Management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37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15, 2015</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19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Investment management</w:t>
            </w:r>
          </w:p>
        </w:tc>
      </w:tr>
      <w:tr>
        <w:trPr/>
        <w:tc>
          <w:tcPr>
            <w:tcW w:w="30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Fuzhou Hailian Atour Hotel Management Co., Ltd.</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0"/>
              <w:ind w:left="0" w:right="0" w:hanging="0"/>
              <w:rPr/>
            </w:pPr>
            <w:r>
              <w:rPr/>
              <w:t>​</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21, 2015</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jc w:val="center"/>
              <w:rPr/>
            </w:pPr>
            <w:r>
              <w:rPr/>
              <w:t>​</w:t>
            </w:r>
          </w:p>
        </w:tc>
        <w:tc>
          <w:tcPr>
            <w:tcW w:w="219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05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Chengdu Zhongchengyaduo Hotel Management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37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26, 2015</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19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05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Hongwang Financial Information Service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3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27, 2016</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19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Financial information service management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1284" w:name="Tc_XHUz7hct8U22qEhVVxRtMQ_28_8"/>
      <w:bookmarkStart w:id="1285" w:name="Tc_71LvZdruA06ASTLQ5RgeDg_28_6"/>
      <w:bookmarkStart w:id="1286" w:name="Tc_ZBd-0j6wDkG0spr1VWuMtQ_28_4"/>
      <w:bookmarkStart w:id="1287" w:name="Tc_JFE4jRX5iUWu5oPif0_Y5A_28_0"/>
      <w:bookmarkStart w:id="1288" w:name="Tc_rkP_DTRbqkWhybzrBNzH-Q_27_8"/>
      <w:bookmarkStart w:id="1289" w:name="Tc_i1JMQ5MgzUSHRrdBvvGoSg_27_6"/>
      <w:bookmarkStart w:id="1290" w:name="Tc_gTC00Y-6UEGU7fSiMtHgcQ_27_4"/>
      <w:bookmarkStart w:id="1291" w:name="Tc_dTcPry0TGUClrKE1P3qK6Q_27_0"/>
      <w:bookmarkStart w:id="1292" w:name="Tc_C2fhLYie90yA4HmCk2JWKA_26_8"/>
      <w:bookmarkStart w:id="1293" w:name="Tc_yHRm8BfpZECzs4p7QRJz7A_26_6"/>
      <w:bookmarkStart w:id="1294" w:name="Tc_1zfOFitR5EC7cUDVN7_vBQ_26_4"/>
      <w:bookmarkStart w:id="1295" w:name="Tc_JweBlQZL3ku-xzW447EJrA_26_0"/>
      <w:bookmarkStart w:id="1296" w:name="Tc_AahXPQPuN0OfsDPv_sDgOg_25_8"/>
      <w:bookmarkStart w:id="1297" w:name="Tc_qqGtHH0H1ka_5ph9Yj47QA_25_6"/>
      <w:bookmarkStart w:id="1298" w:name="Tc_ywq4J0gUN0mfaft3NO_HPQ_25_4"/>
      <w:bookmarkStart w:id="1299" w:name="Tc_PJYZd7W2lkC3P1wYS5XE-Q_25_0"/>
      <w:bookmarkStart w:id="1300" w:name="Tc_kYRs1p_e20y2k7nxDukHOA_24_8"/>
      <w:bookmarkStart w:id="1301" w:name="Tc__CXYPjtJwEWuNzKZya26sg_24_6"/>
      <w:bookmarkStart w:id="1302" w:name="Tc_AZPGIwwLKESw1P6TBQgXQw_24_4"/>
      <w:bookmarkStart w:id="1303" w:name="Tc_PyLhyJhqV0qMsDRIqp82Vg_24_0"/>
      <w:bookmarkStart w:id="1304" w:name="Tc_q3Camu0XVUC1yi-4_uviFA_23_8"/>
      <w:bookmarkStart w:id="1305" w:name="Tc_qGQKQ6NZ50Gi_B-BLHBqiQ_23_6"/>
      <w:bookmarkStart w:id="1306" w:name="Tc_D9RnrmQ2yUSWFJNdF0xFeg_23_4"/>
      <w:bookmarkStart w:id="1307" w:name="Tc_etrmuSsakUCk2m4GctQGuA_23_0"/>
      <w:bookmarkStart w:id="1308" w:name="Tc_X0nxC9XwsEmidbbORLSJvA_22_8"/>
      <w:bookmarkStart w:id="1309" w:name="Tc_4NNxgXOmEEi9f7YPMgACVw_22_6"/>
      <w:bookmarkStart w:id="1310" w:name="Tc_YDyzJJKy7Ua1MMrEkpr2Eg_22_4"/>
      <w:bookmarkStart w:id="1311" w:name="Tc_rl3pQFlPwEmc4ubbUnr8jA_22_0"/>
      <w:bookmarkStart w:id="1312" w:name="Tc_vT_PuoDNf0q9avZZeG1j0Q_21_8"/>
      <w:bookmarkStart w:id="1313" w:name="Tc_P1nI2xMxn0Csq1h64w6B6g_21_6"/>
      <w:bookmarkStart w:id="1314" w:name="Tc_24bC5FP8tUCTKRBZ6iQukA_21_4"/>
      <w:bookmarkStart w:id="1315" w:name="Tc_OGHOUGWEkku8I6LuPgh0IA_21_0"/>
      <w:bookmarkStart w:id="1316" w:name="Tc_rfC9AoGT8kORPhsCkNjlMw_20_8"/>
      <w:bookmarkStart w:id="1317" w:name="Tc_XulmoCa5ik2r_CTeG8bOCQ_20_6"/>
      <w:bookmarkStart w:id="1318" w:name="Tc_9mezG_xSpk2nds66dutZ2A_20_4"/>
      <w:bookmarkStart w:id="1319" w:name="Tc_Ww8YnYYMc0yNwRe7yiG-cg_20_0"/>
      <w:bookmarkStart w:id="1320" w:name="Tc_6m6otNJgsUmMhNvokmYcNw_19_8"/>
      <w:bookmarkStart w:id="1321" w:name="Tc_fI5vlBOFYkGvH93vAeqlEw_19_6"/>
      <w:bookmarkStart w:id="1322" w:name="Tc_wQLSuangw0O6eKtE5ErWSg_19_4"/>
      <w:bookmarkStart w:id="1323" w:name="Tc_hBeIn7xzJ06aDgiGDUQkEQ_19_0"/>
      <w:bookmarkStart w:id="1324" w:name="Tc_JnSysQO8IUeJNcqI2oZCuA_18_8"/>
      <w:bookmarkStart w:id="1325" w:name="Tc_GGtBjh8Tr0e4iIm7T55J4A_18_6"/>
      <w:bookmarkStart w:id="1326" w:name="Tc_v7isRGyjXkGn1kF9HZ2Lkw_18_4"/>
      <w:bookmarkStart w:id="1327" w:name="Tc_tKpeN6P0sUelrHPpGc8XIA_18_0"/>
      <w:bookmarkStart w:id="1328" w:name="Tc_4gkAd-OoZEW4rfO3J9znXw_17_8"/>
      <w:bookmarkStart w:id="1329" w:name="Tc_xakeA6lxJE6okvmSmQqIDA_17_6"/>
      <w:bookmarkStart w:id="1330" w:name="Tc_zFy1umYBo0KRC2BwfPkpKQ_17_4"/>
      <w:bookmarkStart w:id="1331" w:name="Tc_IoDPxbt3L0uA20HJyXvQ6g_17_0"/>
      <w:bookmarkStart w:id="1332" w:name="Tc_si-uWz1wkkalEo_AzpFjLg_16_8"/>
      <w:bookmarkStart w:id="1333" w:name="Tc_nV50cDeZW0Kiif9ipCqROg_16_6"/>
      <w:bookmarkStart w:id="1334" w:name="Tc_yeOX7HDWi022hefcqfByAA_16_4"/>
      <w:bookmarkStart w:id="1335" w:name="Tc_Q5SNKPUdxUS1EYCr_N7hhg_16_0"/>
      <w:bookmarkStart w:id="1336" w:name="Tc_ROIRg5vRAk-YBBwwE9uYJQ_15_8"/>
      <w:bookmarkStart w:id="1337" w:name="Tc_qBtK3dmcW0GjxGkHXsd3bA_15_6"/>
      <w:bookmarkStart w:id="1338" w:name="Tc_tczGScq3XUOYgu5xbmaaKw_15_4"/>
      <w:bookmarkStart w:id="1339" w:name="Tc_hsxxQQZ0j0a11zm9uSH9UA_15_0"/>
      <w:bookmarkStart w:id="1340" w:name="Tc_NZLJY6ScsEC_0We3sSaS9g_14_8"/>
      <w:bookmarkStart w:id="1341" w:name="Tc_cLR1ln___ku_bUKT95vXTg_14_6"/>
      <w:bookmarkStart w:id="1342" w:name="Tc_5Dw6AOyNeUqP0Du8rDn8jQ_14_4"/>
      <w:bookmarkStart w:id="1343" w:name="Tc_kMnKzm7rhUqFsoCRzcfNiw_14_0"/>
      <w:bookmarkStart w:id="1344" w:name="Tc_ZFb8J-jOLUmva3TuDil9UA_13_8"/>
      <w:bookmarkStart w:id="1345" w:name="Tc_QVQZRn1tEEWRmxCrSayz8A_13_6"/>
      <w:bookmarkStart w:id="1346" w:name="Tc_znPywbHSd0WjM7cbZMKHDA_13_4"/>
      <w:bookmarkStart w:id="1347" w:name="Tc_lZNZIkAMYEeXeM9BDUM1yA_13_0"/>
      <w:bookmarkStart w:id="1348" w:name="Tc_EoTA8cqMmUq729xCOSdcKw_12_8"/>
      <w:bookmarkStart w:id="1349" w:name="Tc_s8UawK8BbUS6yGQR1gDl6Q_12_6"/>
      <w:bookmarkStart w:id="1350" w:name="Tc_GjHrs_t2AkCxVNRSfgeM5Q_12_4"/>
      <w:bookmarkStart w:id="1351" w:name="Tc_ivKUmXtZ6ECsFMK-0X5zHg_12_0"/>
      <w:bookmarkStart w:id="1352" w:name="Tc_Z0m-u6QNJEqXCFk56VhDMw_11_8"/>
      <w:bookmarkStart w:id="1353" w:name="Tc_lJrFke5ZUE-9sHe-xSXzVA_11_6"/>
      <w:bookmarkStart w:id="1354" w:name="Tc_gulJ9Qgg-EyKuUlREzIy6Q_11_4"/>
      <w:bookmarkStart w:id="1355" w:name="Tc_kBrWtMMFxUybaiSOqvJ-4A_11_0"/>
      <w:bookmarkStart w:id="1356" w:name="Tc_iczGRp4wFkq6Ip7rMSBoRg_10_8"/>
      <w:bookmarkStart w:id="1357" w:name="Tc_UX_fT8hAZkSdXVsj1qgTLQ_10_6"/>
      <w:bookmarkStart w:id="1358" w:name="Tc_IpbCgAq4H0Kp2XcPY-ti8g_10_4"/>
      <w:bookmarkStart w:id="1359" w:name="Tc_zkKWyCHb7k-dcSHluDfByw_10_0"/>
      <w:bookmarkStart w:id="1360" w:name="Tc_qltdaWNUgU-hSpw1PNVn2A_9_8"/>
      <w:bookmarkStart w:id="1361" w:name="Tc_qcD6XxxGH0uXh9eZiWuVAg_9_6"/>
      <w:bookmarkStart w:id="1362" w:name="Tc_UKSV7CgZCUu76ERzKmfzSA_9_4"/>
      <w:bookmarkStart w:id="1363" w:name="Tc_oI1aKVyff0mkecySIJOxow_9_0"/>
      <w:bookmarkStart w:id="1364" w:name="Tc_5Kjpui2SUkmU3vytx6662A_8_8"/>
      <w:bookmarkStart w:id="1365" w:name="Tc_GK414_rEX0q1N5Hbz8LTdA_8_6"/>
      <w:bookmarkStart w:id="1366" w:name="Tc_g1HRBTLaRUeljcTrnshQag_8_4"/>
      <w:bookmarkStart w:id="1367" w:name="Tc_r73VKTCgs0uDz-OjakTKDQ_8_0"/>
      <w:bookmarkStart w:id="1368" w:name="Tc_9eVra53JOU6nnOWPQRqCfw_7_8"/>
      <w:bookmarkStart w:id="1369" w:name="Tc_zMuVd7L6ZEqmj22Az2BV-Q_7_6"/>
      <w:bookmarkStart w:id="1370" w:name="Tc_Eeb3OkV3qUOto948vD5E7A_7_4"/>
      <w:bookmarkStart w:id="1371" w:name="Tc_aF_hf5_q7kqul9N8Upyc2w_7_0"/>
      <w:bookmarkStart w:id="1372" w:name="Tc_Sl-fDUc9fEyL5hmwm2iV8g_6_8"/>
      <w:bookmarkStart w:id="1373" w:name="Tc_BuGw9FPSlkOQncxg8cmNZg_6_6"/>
      <w:bookmarkStart w:id="1374" w:name="Tc_wl1adEr5tUGho93NHC7Xug_6_4"/>
      <w:bookmarkStart w:id="1375" w:name="Tc_Kwk2fm4DoUm49MLuXEvFVQ_6_0"/>
      <w:bookmarkStart w:id="1376" w:name="Tc_RMGL7dTrD0SIkIAKiBlZdA_4_8"/>
      <w:bookmarkStart w:id="1377" w:name="Tc_fp8x8gXw_kGbC4S3AMkGbA_4_6"/>
      <w:bookmarkStart w:id="1378" w:name="Tc_5L5tgbcGrEe8ehKSOM7tGw_4_4"/>
      <w:bookmarkStart w:id="1379" w:name="Tc_VRZw40ajEUiAgAlvogjZcQ_4_2"/>
      <w:bookmarkStart w:id="1380" w:name="Tc_CNA7w2tJ2UCmZXI3eWOT0g_4_0"/>
      <w:bookmarkStart w:id="1381" w:name="Tc_KpTYf6lloUuhy3X9SJkIBg_3_8"/>
      <w:bookmarkStart w:id="1382" w:name="Tc_gWoOz3HJEU-i620DjV7r_g_3_6"/>
      <w:bookmarkStart w:id="1383" w:name="Tc_FRy_BPNMz0aFYXE2Wgpyug_3_4"/>
      <w:bookmarkStart w:id="1384" w:name="Tc_kHtU0busBUaTh2o_kX-4bg_3_2"/>
      <w:bookmarkStart w:id="1385" w:name="Tc_4ZblHTjqzUGHPRIShX8qhQ_2_4"/>
      <w:bookmarkStart w:id="1386" w:name="Tc_Fe6T0y0QWk2kzenVRtkx2g_1_4"/>
      <w:bookmarkStart w:id="1387" w:name="_e8fd8a2a_ca29_45f8_8922_f15183b6e926"/>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r>
        <w:rPr/>
        <w:t>​</w:t>
      </w:r>
    </w:p>
    <w:tbl>
      <w:tblPr>
        <w:tblW w:w="10205" w:type="dxa"/>
        <w:jc w:val="left"/>
        <w:tblInd w:w="0" w:type="dxa"/>
        <w:tblCellMar>
          <w:top w:w="0" w:type="dxa"/>
          <w:left w:w="0" w:type="dxa"/>
          <w:bottom w:w="0" w:type="dxa"/>
          <w:right w:w="0" w:type="dxa"/>
        </w:tblCellMar>
      </w:tblPr>
      <w:tblGrid>
        <w:gridCol w:w="3184"/>
        <w:gridCol w:w="326"/>
        <w:gridCol w:w="1156"/>
        <w:gridCol w:w="326"/>
        <w:gridCol w:w="1404"/>
        <w:gridCol w:w="326"/>
        <w:gridCol w:w="1126"/>
        <w:gridCol w:w="326"/>
        <w:gridCol w:w="2031"/>
      </w:tblGrid>
      <w:tr>
        <w:trPr/>
        <w:tc>
          <w:tcPr>
            <w:tcW w:w="31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21840" cy="175260"/>
                      <wp:effectExtent l="0" t="0" r="0" b="0"/>
                      <wp:wrapNone/>
                      <wp:docPr id="373" name="Frame365"/>
                      <a:graphic xmlns:a="http://schemas.openxmlformats.org/drawingml/2006/main">
                        <a:graphicData uri="http://schemas.microsoft.com/office/word/2010/wordprocessingShape">
                          <wps:wsp>
                            <wps:cNvSpPr txBox="1"/>
                            <wps:spPr>
                              <a:xfrm>
                                <a:off x="0" y="0"/>
                                <a:ext cx="2021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734060" cy="175260"/>
                      <wp:effectExtent l="0" t="0" r="0" b="0"/>
                      <wp:wrapNone/>
                      <wp:docPr id="375" name="Frame367"/>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891540" cy="175260"/>
                      <wp:effectExtent l="0" t="0" r="0" b="0"/>
                      <wp:wrapNone/>
                      <wp:docPr id="377" name="Frame369"/>
                      <a:graphic xmlns:a="http://schemas.openxmlformats.org/drawingml/2006/main">
                        <a:graphicData uri="http://schemas.microsoft.com/office/word/2010/wordprocessingShape">
                          <wps:wsp>
                            <wps:cNvSpPr txBox="1"/>
                            <wps:spPr>
                              <a:xfrm>
                                <a:off x="0" y="0"/>
                                <a:ext cx="891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15010" cy="175260"/>
                      <wp:effectExtent l="0" t="0" r="0" b="0"/>
                      <wp:wrapNone/>
                      <wp:docPr id="379" name="Frame371"/>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89685" cy="175260"/>
                      <wp:effectExtent l="0" t="0" r="0" b="0"/>
                      <wp:wrapNone/>
                      <wp:docPr id="381" name="Frame373"/>
                      <a:graphic xmlns:a="http://schemas.openxmlformats.org/drawingml/2006/main">
                        <a:graphicData uri="http://schemas.microsoft.com/office/word/2010/wordprocessingShape">
                          <wps:wsp>
                            <wps:cNvSpPr txBox="1"/>
                            <wps:spPr>
                              <a:xfrm>
                                <a:off x="0" y="0"/>
                                <a:ext cx="1289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2031" w:type="dxa"/>
            <w:tcBorders/>
            <w:shd w:fill="auto" w:val="clear"/>
            <w:vAlign w:val="center"/>
          </w:tcPr>
          <w:p>
            <w:pPr>
              <w:pStyle w:val="TableContents"/>
              <w:spacing w:before="0" w:after="0"/>
              <w:ind w:left="0" w:right="0" w:hanging="0"/>
              <w:jc w:val="center"/>
              <w:rPr/>
            </w:pPr>
            <w:r>
              <w:rPr/>
              <w:t> </w:t>
            </w:r>
          </w:p>
        </w:tc>
      </w:tr>
      <w:tr>
        <w:trPr/>
        <w:tc>
          <w:tcPr>
            <w:tcW w:w="31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shd w:fill="auto" w:val="clear"/>
            <w:vAlign w:val="center"/>
          </w:tcPr>
          <w:p>
            <w:pPr>
              <w:pStyle w:val="TableContents"/>
              <w:spacing w:before="0" w:after="0"/>
              <w:ind w:left="0" w:right="0" w:hanging="0"/>
              <w:jc w:val="center"/>
              <w:rPr/>
            </w:pPr>
            <w:r>
              <w:rPr/>
              <w:t>​</w:t>
            </w:r>
          </w:p>
        </w:tc>
      </w:tr>
      <w:tr>
        <w:trPr/>
        <w:tc>
          <w:tcPr>
            <w:tcW w:w="31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Merger or</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Major </w:t>
            </w:r>
          </w:p>
        </w:tc>
      </w:tr>
      <w:tr>
        <w:trPr/>
        <w:tc>
          <w:tcPr>
            <w:tcW w:w="3184"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w:t>
            </w:r>
          </w:p>
        </w:tc>
      </w:tr>
      <w:tr>
        <w:trPr/>
        <w:tc>
          <w:tcPr>
            <w:tcW w:w="31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shd w:fill="auto" w:val="clear"/>
            <w:vAlign w:val="center"/>
          </w:tcPr>
          <w:p>
            <w:pPr>
              <w:pStyle w:val="TableContents"/>
              <w:spacing w:before="0" w:after="0"/>
              <w:ind w:left="0" w:right="0" w:hanging="0"/>
              <w:jc w:val="center"/>
              <w:rPr/>
            </w:pPr>
            <w:r>
              <w:rPr/>
              <w: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Shankuai Information Technology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jc w:val="center"/>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February 01,2016</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Retail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Hangzhou Anduo Hotel Management Co., Ltd.</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20, 2017</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Leiduo Information Technology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jc w:val="center"/>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21, 2017</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Retail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Yueduo (Shanghai) Apartment Management Service Co., Ltd.</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23, 2017</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Property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Naiduo Hotel Management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jc w:val="center"/>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25, 2017</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Zhouduo Hotel Management Co., Ltd.</w:t>
            </w:r>
          </w:p>
        </w:tc>
        <w:tc>
          <w:tcPr>
            <w:tcW w:w="326" w:type="dxa"/>
            <w:tcBorders/>
            <w:shd w:fill="auto" w:val="clear"/>
            <w:vAlign w:val="center"/>
          </w:tcPr>
          <w:p>
            <w:pPr>
              <w:pStyle w:val="TableContents"/>
              <w:spacing w:before="0" w:after="0"/>
              <w:ind w:left="0" w:right="0" w:hanging="0"/>
              <w:jc w:val="center"/>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jc w:val="center"/>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August 04, 2017</w:t>
            </w:r>
          </w:p>
        </w:tc>
        <w:tc>
          <w:tcPr>
            <w:tcW w:w="326"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jc w:val="center"/>
              <w:rPr/>
            </w:pPr>
            <w:r>
              <w:rPr/>
              <w:t>​</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Chengduo Information Technology Co., Ltd.</w:t>
            </w:r>
          </w:p>
        </w:tc>
        <w:tc>
          <w:tcPr>
            <w:tcW w:w="326" w:type="dxa"/>
            <w:tcBorders/>
            <w:shd w:fill="CCEEFF" w:val="clear"/>
            <w:vAlign w:val="center"/>
          </w:tcPr>
          <w:p>
            <w:pPr>
              <w:pStyle w:val="TableContents"/>
              <w:spacing w:before="0" w:after="0"/>
              <w:ind w:left="0" w:right="0" w:hanging="0"/>
              <w:jc w:val="center"/>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jc w:val="center"/>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15, 2017</w:t>
            </w:r>
          </w:p>
        </w:tc>
        <w:tc>
          <w:tcPr>
            <w:tcW w:w="326" w:type="dxa"/>
            <w:tcBorders/>
            <w:shd w:fill="CCEEFF" w:val="clear"/>
            <w:vAlign w:val="center"/>
          </w:tcPr>
          <w:p>
            <w:pPr>
              <w:pStyle w:val="TableContents"/>
              <w:spacing w:before="0" w:after="0"/>
              <w:ind w:left="0" w:right="0" w:hanging="0"/>
              <w:jc w:val="center"/>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jc w:val="center"/>
              <w:rPr/>
            </w:pPr>
            <w:r>
              <w:rPr/>
              <w:t>​</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Software and Technology services</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Beijing Chengduo Data Technology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January 22, 2018</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Technology services</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Xiangduo Enterprise Management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April 13, 2018</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Guiduo Hotel Management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May 08,2018</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Atour (Shanghai) Travel Agency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05, 2018</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Travel agency operation</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Guangzhou Zhongduo Hotel Management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19, 2018</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Banduo Hotel Management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11, 2018</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Beijing Yueduo Property Management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February 13, 2019</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Property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Xingduo Hotel Management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May 24, 2019</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Jiangduo Information Technology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07, 2019</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Retail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Shenzhen Jiaoduo Hotel Management Co., Ltd.</w:t>
            </w:r>
          </w:p>
        </w:tc>
        <w:tc>
          <w:tcPr>
            <w:tcW w:w="326"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25, 2019</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Huiduo Hotel Management Co.,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15, 2019</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Mingduo Business Management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18, 2019</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Youduo Hotel Management Co., Ltd.</w:t>
            </w:r>
          </w:p>
        </w:tc>
        <w:tc>
          <w:tcPr>
            <w:tcW w:w="326"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26, 2019</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Yinduo Culture Communication Co., Ltd.</w:t>
            </w:r>
          </w:p>
        </w:tc>
        <w:tc>
          <w:tcPr>
            <w:tcW w:w="326"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August 27, 2020</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 </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Retail management</w:t>
            </w:r>
          </w:p>
        </w:tc>
      </w:tr>
      <w:tr>
        <w:trPr/>
        <w:tc>
          <w:tcPr>
            <w:tcW w:w="318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Atour Hotel (HK) Holdings, Ltd.</w:t>
            </w:r>
          </w:p>
        </w:tc>
        <w:tc>
          <w:tcPr>
            <w:tcW w:w="326"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140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05, 2021</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26" w:type="dxa"/>
            <w:tcBorders/>
            <w:shd w:fill="auto" w:val="clear"/>
            <w:vAlign w:val="center"/>
          </w:tcPr>
          <w:p>
            <w:pPr>
              <w:pStyle w:val="TableContents"/>
              <w:spacing w:before="0" w:after="0"/>
              <w:ind w:left="0" w:right="0" w:hanging="0"/>
              <w:rPr/>
            </w:pPr>
            <w:r>
              <w:rPr/>
              <w:t> </w:t>
            </w:r>
          </w:p>
        </w:tc>
        <w:tc>
          <w:tcPr>
            <w:tcW w:w="20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318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Shanghai Rongduo Commercial Management Co., Ltd.</w:t>
            </w:r>
          </w:p>
        </w:tc>
        <w:tc>
          <w:tcPr>
            <w:tcW w:w="326"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w:t>
            </w:r>
          </w:p>
        </w:tc>
        <w:tc>
          <w:tcPr>
            <w:tcW w:w="1404"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June 13, 2022</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26" w:type="dxa"/>
            <w:tcBorders/>
            <w:shd w:fill="CCEEFF" w:val="clear"/>
            <w:vAlign w:val="center"/>
          </w:tcPr>
          <w:p>
            <w:pPr>
              <w:pStyle w:val="TableContents"/>
              <w:spacing w:before="0" w:after="0"/>
              <w:ind w:left="0" w:right="0" w:hanging="0"/>
              <w:rPr/>
            </w:pPr>
            <w:r>
              <w:rPr/>
              <w:t>​</w:t>
            </w:r>
          </w:p>
        </w:tc>
        <w:tc>
          <w:tcPr>
            <w:tcW w:w="203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Hotel management</w:t>
            </w:r>
          </w:p>
        </w:tc>
      </w:tr>
    </w:tbl>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 Restructuring</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connection with the initial public offering of the Company’s shares, the Group undertook certain corporate restructuring activities in 2021 to establish an offshore structure to hold the entire equity interest in Atour Shanghai (“Restructuring”). The Restructuring was approved by the shareholders and board of directors of Atour Shanghai in December 2020 and a reorganization framework agreement was entered into between Atour Shanghai and the shareholders of Atour Shanghai in February 2021. As part of the Restructuring, the Company established an intermediate holding company of the Group in Hong Kong, Atour Hong Kong, to hold the entire equity interests in Atour Shanghai.</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Pursuant to the Restructuring, the affiliates of the existing equity holders of Atour Shanghai would acquire the equity interests in the Company substantially in proportion to their respective effective equity interests in Atour Shanghai prior to the Restructuring. The Restructuring was fully completed in May 2021 upon the completion of issuance of the shares of the Company to the affiliates of the former equity holders of Atour Shanghai. The Restructuring did not change any rights or economic interests of the equity holders of Atour Shanghai, including the preference rights where applicable.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Atour Lifestyle and Atour Hong Kong had no operations with only nominal amount of net assets prior to the consummation of the Restructuring. All of the Group’s business continues to be conducted through Atour Shanghai and its subsidiaries after the Restructuring.</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Restructuring has been accounted for as a reverse recapitalization of Atour Shanghai rather than a business combination. Accordingly, the Company’s consolidated financial statements represent a continuation of the financial statement of Atour Shanghai, and the assets and liabilities are presented at their historical carrying values. The effect of the Restructuring where applicable has been retrospectively reflected in the consolidated financial statements. Certain equity transactions that occurred during the intervening period of the Restructuring as further set out in Note 16(b),16(c), and 16(d) are accounted for separately from the Restructuring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they are not part of the integrated set of activities constituting the Restructuring and serve distinct purposes independent of the Restructuring.</w:t>
      </w:r>
    </w:p>
    <w:tbl>
      <w:tblPr>
        <w:tblW w:w="3002" w:type="dxa"/>
        <w:jc w:val="left"/>
        <w:tblInd w:w="0" w:type="dxa"/>
        <w:tblCellMar>
          <w:top w:w="0" w:type="dxa"/>
          <w:left w:w="0" w:type="dxa"/>
          <w:bottom w:w="0" w:type="dxa"/>
          <w:right w:w="0" w:type="dxa"/>
        </w:tblCellMar>
      </w:tblPr>
      <w:tblGrid>
        <w:gridCol w:w="271"/>
        <w:gridCol w:w="273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2.</w:t>
            </w:r>
          </w:p>
        </w:tc>
        <w:tc>
          <w:tcPr>
            <w:tcW w:w="273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Significant accounting policies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(a)Basis of preparation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U.S. generally accepted accounting principles (“GAAP”).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consolidated financial statements are presented in Renminbi (“RMB”), rounded to the nearest thousands except share data and per share data, or otherwise noted.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Recently Adopted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February 2016, the Financial Accounting Standards Board (“FASB”) issued Accounting Standards Update (“ASU”) No. 2016-02, </w:t>
      </w:r>
      <w:r>
        <w:rPr>
          <w:rFonts w:ascii="Times New Roman;Times;serif" w:hAnsi="Times New Roman;Times;serif"/>
          <w:i/>
          <w:sz w:val="20"/>
        </w:rPr>
        <w:t>Leases</w:t>
      </w:r>
      <w:r>
        <w:rPr>
          <w:rFonts w:ascii="Times New Roman;Times;serif" w:hAnsi="Times New Roman;Times;serif"/>
          <w:sz w:val="20"/>
        </w:rPr>
        <w:t xml:space="preserve"> (Topic 842) (“ASU 2016-02” or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The Group adopted ASC 842 on January 1, 2022, using a modified retrospective method for leases that exist at, or are entered into after, January 1, 2022, and has not recast the comparative period presented in the consolidated financial statements. Additionally, the Group elected the package of practical expedients that allowed the Group to not reassess: (1) whether any expired or existing contracts are or contain leases, (2) lease classification for any expired or existing lease and (3) initial direct costs for any expired or existing leases. The Group also elected the hindsight practical expedient to determine the reasonably certain lease term for existing leases.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Upon the adoption of ASC 842, the Group recognized right-of-use assets and lease liabilities of RMB2,200,280 and RMB2,399,061 respectively, for operating leases of the buildings of the Group’s leased hotels and office spaces based on the present value of lease payments over the lease term.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388" w:name="Tc_3RZjpvrIF0un6rMdyNA_QQ_24_0"/>
      <w:bookmarkStart w:id="1389" w:name="Tc_rFco4j_XQkSiOsogMKSv6A_23_0"/>
      <w:bookmarkStart w:id="1390" w:name="Tc_I6RtMi6ya0SAS5w7SHExaw_22_4"/>
      <w:bookmarkStart w:id="1391" w:name="Tc_6ZPJ7KK9UkGrDBve8vrsUw_22_0"/>
      <w:bookmarkStart w:id="1392" w:name="Tc_IX8VGnHFbkablP79iKZmew_21_5"/>
      <w:bookmarkStart w:id="1393" w:name="Tc_deIi-d43KkeuWGF-XgdrJQ_21_0"/>
      <w:bookmarkStart w:id="1394" w:name="Tc_SqkuwOvFF0OIv_PpUTB_HQ_20_4"/>
      <w:bookmarkStart w:id="1395" w:name="Tc_CIcJMCgfxEWJbvXAuXHpEQ_20_0"/>
      <w:bookmarkStart w:id="1396" w:name="Tc_xtTpaFGaXEOYOg4lb8f_2Q_19_4"/>
      <w:bookmarkStart w:id="1397" w:name="Tc_5C4EspqsIkmUt66hekv_BQ_19_0"/>
      <w:bookmarkStart w:id="1398" w:name="Tc_Bt4AsBh1AkGo8mzerRMzHQ_18_5"/>
      <w:bookmarkStart w:id="1399" w:name="Tc_kDMHjORZz02gENtM82VAnQ_18_2"/>
      <w:bookmarkStart w:id="1400" w:name="Tc_NOdWzssHH02Qo9BJXlCioA_18_0"/>
      <w:bookmarkStart w:id="1401" w:name="Tc_mg1QfQTBpkOHzKnEoHsI5A_17_4"/>
      <w:bookmarkStart w:id="1402" w:name="Tc_GP8K268edkOrQoCH-Jvb9A_17_0"/>
      <w:bookmarkStart w:id="1403" w:name="Tc_mHOxLdUcv0C7ySU_tW9BnA_16_4"/>
      <w:bookmarkStart w:id="1404" w:name="Tc_AC394mrv2EWNJXwcx1Xj4w_16_0"/>
      <w:bookmarkStart w:id="1405" w:name="Tc_3rRFUX7ZgE-WpoUm59ACtQ_15_4"/>
      <w:bookmarkStart w:id="1406" w:name="Tc_v4RaeHm60EifBp04MeDXIg_15_0"/>
      <w:bookmarkStart w:id="1407" w:name="Tc_YSzt1sRl6kClGGQruLVIKA_14_0"/>
      <w:bookmarkStart w:id="1408" w:name="Tc_GdyaolKHdUKwN9RQLMWfCA_13_4"/>
      <w:bookmarkStart w:id="1409" w:name="Tc_Jnonq7M_uUSRg38RfaUNdA_13_0"/>
      <w:bookmarkStart w:id="1410" w:name="Tc_A35qZJVa7kawd4bwQslX3w_12_4"/>
      <w:bookmarkStart w:id="1411" w:name="Tc_PMszMBF0XEOIPzizXKDEVA_12_0"/>
      <w:bookmarkStart w:id="1412" w:name="Tc_6svYfffuaEWCzPXW6_iZjg_11_4"/>
      <w:bookmarkStart w:id="1413" w:name="Tc_dyVBa4GTC06IdHCcQBUExw_11_0"/>
      <w:bookmarkStart w:id="1414" w:name="Tc_2p4Q_hPOg0moWO9vJsQg4Q_10_4"/>
      <w:bookmarkStart w:id="1415" w:name="Tc_KdFKgR2QVUq3ptEze_G6Hw_10_0"/>
      <w:bookmarkStart w:id="1416" w:name="Tc_AS3vJ9YIqk21-wzlGip_Nw_9_4"/>
      <w:bookmarkStart w:id="1417" w:name="Tc_YBiVeO5pMkKDDddJ9yv1rQ_9_0"/>
      <w:bookmarkStart w:id="1418" w:name="Tc_sLgaeJYIPkeTjt7tNSww9w_8_0"/>
      <w:bookmarkStart w:id="1419" w:name="Tc_6oCokkNXiU2aDwSVq5t0hw_7_6"/>
      <w:bookmarkStart w:id="1420" w:name="Tc_uourlPSs0EmW2kqcuApTTA_7_4"/>
      <w:bookmarkStart w:id="1421" w:name="Tc_ymiDHuAq00-Rr5r55AU4jg_7_2"/>
      <w:bookmarkStart w:id="1422" w:name="Tc_wLP0kD8BSEe6AKxpOCG-yw_7_0"/>
      <w:bookmarkStart w:id="1423" w:name="Tc_5JGsRW4i7Uue62CadI8_bw_6_4"/>
      <w:bookmarkStart w:id="1424" w:name="Tc_UY_EcpG2dkyWZako-O0vrw_6_0"/>
      <w:bookmarkStart w:id="1425" w:name="Tc_aB9yszuwg0GTKGioklWLhw_5_0"/>
      <w:bookmarkStart w:id="1426" w:name="Tc_tOGfhVJi9UGfDKzp0x3aeA_4_0"/>
      <w:bookmarkStart w:id="1427" w:name="Tc_3MEh3OLAY0ubgFfx_nPSqg_3_6"/>
      <w:bookmarkStart w:id="1428" w:name="Tc_GO6_H9q170KwYMgoyXcKzw_3_4"/>
      <w:bookmarkStart w:id="1429" w:name="Tc_BkxK0GdJ5Eek1uHVlJcgnw_3_2"/>
      <w:bookmarkStart w:id="1430" w:name="Tc_X_KBz5A1Wkmrn_DcAEA5cg_2_6"/>
      <w:bookmarkStart w:id="1431" w:name="Tc_og4kXXGkt0Cv-n-H8bnbHw_2_4"/>
      <w:bookmarkStart w:id="1432" w:name="Tc_3A3wwIWCv0iOTYgvN-c_ew_2_2"/>
      <w:bookmarkStart w:id="1433" w:name="Tc_Pri9U1meKkqgC8r1tvDdtg_1_6"/>
      <w:bookmarkStart w:id="1434" w:name="Tc_ARAA3X9pz0Km0T_HZkdOqQ_1_4"/>
      <w:bookmarkStart w:id="1435" w:name="Tc_bep8smleiECGF1ferubCaw_1_2"/>
      <w:bookmarkStart w:id="1436" w:name="_fd44e13f_dea3_4237_975c_916b23ad8204"/>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r>
        <w:rPr>
          <w:rFonts w:ascii="Times New Roman;Times;serif" w:hAnsi="Times New Roman;Times;serif"/>
          <w:sz w:val="20"/>
        </w:rPr>
        <w:t>The following table summarizes the effect on the consolidated balance sheet as a result of adopting ASC 842.</w:t>
      </w:r>
    </w:p>
    <w:p>
      <w:pPr>
        <w:pStyle w:val="TextBody"/>
        <w:spacing w:before="0" w:after="0"/>
        <w:ind w:left="0" w:right="0" w:hanging="0"/>
        <w:rPr/>
      </w:pPr>
      <w:r>
        <w:rPr/>
        <w:t>​</w:t>
      </w:r>
    </w:p>
    <w:tbl>
      <w:tblPr>
        <w:tblW w:w="8167" w:type="dxa"/>
        <w:jc w:val="left"/>
        <w:tblInd w:w="0" w:type="dxa"/>
        <w:tblCellMar>
          <w:top w:w="0" w:type="dxa"/>
          <w:left w:w="0" w:type="dxa"/>
          <w:bottom w:w="0" w:type="dxa"/>
          <w:right w:w="0" w:type="dxa"/>
        </w:tblCellMar>
      </w:tblPr>
      <w:tblGrid>
        <w:gridCol w:w="3406"/>
        <w:gridCol w:w="326"/>
        <w:gridCol w:w="1501"/>
        <w:gridCol w:w="326"/>
        <w:gridCol w:w="931"/>
        <w:gridCol w:w="326"/>
        <w:gridCol w:w="1351"/>
      </w:tblGrid>
      <w:tr>
        <w:trPr/>
        <w:tc>
          <w:tcPr>
            <w:tcW w:w="3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62810" cy="175260"/>
                      <wp:effectExtent l="0" t="0" r="0" b="0"/>
                      <wp:wrapNone/>
                      <wp:docPr id="382" name="Frame374"/>
                      <a:graphic xmlns:a="http://schemas.openxmlformats.org/drawingml/2006/main">
                        <a:graphicData uri="http://schemas.microsoft.com/office/word/2010/wordprocessingShape">
                          <wps:wsp>
                            <wps:cNvSpPr txBox="1"/>
                            <wps:spPr>
                              <a:xfrm>
                                <a:off x="0" y="0"/>
                                <a:ext cx="2162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953135" cy="175260"/>
                      <wp:effectExtent l="0" t="0" r="0" b="0"/>
                      <wp:wrapNone/>
                      <wp:docPr id="384" name="Frame376"/>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91185" cy="175260"/>
                      <wp:effectExtent l="0" t="0" r="0" b="0"/>
                      <wp:wrapNone/>
                      <wp:docPr id="386" name="Frame37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857885" cy="175260"/>
                      <wp:effectExtent l="0" t="0" r="0" b="0"/>
                      <wp:wrapNone/>
                      <wp:docPr id="388" name="Frame380"/>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Effect of</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December 31, 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adoption</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January 1, 2022</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Assets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Current assets</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color w:val="231F20"/>
              </w:rPr>
            </w:pPr>
            <w:r>
              <w:rPr>
                <w:color w:val="231F20"/>
              </w:rPr>
              <w:t>  </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  </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color w:val="231F20"/>
              </w:rPr>
            </w:pPr>
            <w:r>
              <w:rPr>
                <w:color w:val="231F20"/>
              </w:rPr>
              <w:t>  </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Cash and cash equivalents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1,038,583</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1,038,583</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Short-term investments</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Accounts receivable, net of allowance of</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color w:val="231F20"/>
              </w:rPr>
            </w:pPr>
            <w:r>
              <w:rPr>
                <w:color w:val="231F20"/>
              </w:rPr>
              <w:t>  </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  </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color w:val="231F20"/>
              </w:rPr>
            </w:pPr>
            <w:r>
              <w:rPr>
                <w:color w:val="231F20"/>
              </w:rPr>
              <w:t>  </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RMB14,731 as of December 31, 2021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99,961</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99,961</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Prepayments and other current assets </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167,161</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167,161</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Amounts due from related parties</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51,937</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51,937</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Inventories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58,575</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58,575</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 xml:space="preserve">Total current assets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1,416,217</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1,416,217</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Non-current assets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color w:val="231F20"/>
              </w:rPr>
            </w:pPr>
            <w:r>
              <w:rPr>
                <w:color w:val="231F20"/>
              </w:rPr>
              <w:t>  </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  </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color w:val="231F20"/>
              </w:rPr>
            </w:pPr>
            <w:r>
              <w:rPr>
                <w:color w:val="231F20"/>
              </w:rPr>
              <w:t>  </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Restricted cash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946</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946</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Contract costs </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62,415</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62,415</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Property and equipment, net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439,015</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439,015</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Operating lease right-of-use assets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2,200,280</w:t>
            </w:r>
          </w:p>
        </w:tc>
        <w:tc>
          <w:tcPr>
            <w:tcW w:w="326" w:type="dxa"/>
            <w:tcBorders/>
            <w:shd w:fill="CCEEFF" w:val="clear"/>
            <w:vAlign w:val="center"/>
          </w:tcPr>
          <w:p>
            <w:pPr>
              <w:pStyle w:val="TableContents"/>
              <w:spacing w:lineRule="auto" w:line="240" w:before="0" w:after="1"/>
              <w:ind w:left="0" w:right="0" w:hanging="0"/>
              <w:rPr>
                <w:rFonts w:ascii="Times New Roman;Times;serif" w:hAnsi="Times New Roman;Times;serif"/>
                <w:color w:val="231F20"/>
                <w:sz w:val="15"/>
              </w:rPr>
            </w:pPr>
            <w:r>
              <w:rPr>
                <w:rFonts w:ascii="Times New Roman;Times;serif" w:hAnsi="Times New Roman;Times;serif"/>
                <w:color w:val="231F20"/>
                <w:sz w:val="15"/>
              </w:rPr>
              <w:t>(a)</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2,200,280</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Intangible assets, net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3,820</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3,820</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Goodwill</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17,446</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17,446</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Other assets</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182,581</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(11,758)</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color w:val="231F20"/>
                <w:sz w:val="15"/>
              </w:rPr>
            </w:pPr>
            <w:r>
              <w:rPr>
                <w:rFonts w:ascii="Times New Roman;Times;serif" w:hAnsi="Times New Roman;Times;serif"/>
                <w:color w:val="231F20"/>
                <w:sz w:val="15"/>
              </w:rPr>
              <w:t>(b)</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170,823</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Deferred tax assets</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122,707</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122,707</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 xml:space="preserve">Total non-current assets </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828,930</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2,188,522</w:t>
            </w:r>
          </w:p>
        </w:tc>
        <w:tc>
          <w:tcPr>
            <w:tcW w:w="326" w:type="dxa"/>
            <w:tcBorders/>
            <w:shd w:fill="auto" w:val="clear"/>
            <w:vAlign w:val="center"/>
          </w:tcPr>
          <w:p>
            <w:pPr>
              <w:pStyle w:val="TableContents"/>
              <w:spacing w:before="0" w:after="1"/>
              <w:ind w:left="0" w:right="0" w:hanging="0"/>
              <w:jc w:val="right"/>
              <w:rPr>
                <w:color w:val="231F20"/>
              </w:rPr>
            </w:pPr>
            <w:r>
              <w:rPr>
                <w:color w:val="231F20"/>
              </w:rPr>
              <w:t>​</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3,017,452</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 xml:space="preserve">Total assets </w:t>
            </w:r>
          </w:p>
        </w:tc>
        <w:tc>
          <w:tcPr>
            <w:tcW w:w="326" w:type="dxa"/>
            <w:tcBorders/>
            <w:shd w:fill="CCEEFF" w:val="clear"/>
            <w:vAlign w:val="center"/>
          </w:tcPr>
          <w:p>
            <w:pPr>
              <w:pStyle w:val="TableContents"/>
              <w:spacing w:before="0" w:after="1"/>
              <w:ind w:left="0" w:right="0" w:hanging="0"/>
              <w:rPr>
                <w:color w:val="231F20"/>
              </w:rPr>
            </w:pPr>
            <w:r>
              <w:rPr>
                <w:color w:val="231F20"/>
              </w:rPr>
              <w:t>​</w:t>
            </w:r>
          </w:p>
        </w:tc>
        <w:tc>
          <w:tcPr>
            <w:tcW w:w="15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2,245,147</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2,188,522</w:t>
            </w:r>
          </w:p>
        </w:tc>
        <w:tc>
          <w:tcPr>
            <w:tcW w:w="326" w:type="dxa"/>
            <w:tcBorders/>
            <w:shd w:fill="CCEEFF" w:val="clear"/>
            <w:vAlign w:val="center"/>
          </w:tcPr>
          <w:p>
            <w:pPr>
              <w:pStyle w:val="TableContents"/>
              <w:spacing w:before="0" w:after="1"/>
              <w:ind w:left="0" w:right="0" w:hanging="0"/>
              <w:jc w:val="right"/>
              <w:rPr>
                <w:color w:val="231F20"/>
              </w:rPr>
            </w:pPr>
            <w:r>
              <w:rPr>
                <w:color w:val="231F20"/>
              </w:rPr>
              <w:t>​</w:t>
            </w:r>
          </w:p>
        </w:tc>
        <w:tc>
          <w:tcPr>
            <w:tcW w:w="135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4,433,669</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437" w:name="Tc_miORxp7U60azQ1xEF4xtqA_32_0"/>
      <w:bookmarkStart w:id="1438" w:name="Tc_1XOybIAyOUaU9sqD_z_5hw_31_6"/>
      <w:bookmarkStart w:id="1439" w:name="Tc_dcIF6lfjpUmoAlyxbaFoPQ_31_4"/>
      <w:bookmarkStart w:id="1440" w:name="Tc_Tf4Vm7oa5US9Mcsl7DZvIw_31_2"/>
      <w:bookmarkStart w:id="1441" w:name="Tc_MlRisS5YJUGPTNo23UfVPA_31_0"/>
      <w:bookmarkStart w:id="1442" w:name="Tc_5i3xtd4Hlk6XuAVh_r2Wng_30_4"/>
      <w:bookmarkStart w:id="1443" w:name="Tc_OeyAEFypR0Wtu6pbzvXRdg_30_0"/>
      <w:bookmarkStart w:id="1444" w:name="Tc_aQYXRuUA_Eup9sMKO9lrBA_29_4"/>
      <w:bookmarkStart w:id="1445" w:name="Tc_DGPalYkXx02obayNxOCJBA_29_0"/>
      <w:bookmarkStart w:id="1446" w:name="Tc_4cZKhc0Gi0ykdzh734IuxA_28_4"/>
      <w:bookmarkStart w:id="1447" w:name="Tc_wlsr-oJ42keLm4iw7i7Z0g_28_0"/>
      <w:bookmarkStart w:id="1448" w:name="Tc_3S5wQDEQ2U69O57wwO-9rA_27_4"/>
      <w:bookmarkStart w:id="1449" w:name="Tc_fbey95_p_ECmW3r3Jc49jg_27_0"/>
      <w:bookmarkStart w:id="1450" w:name="Tc_N_mC9IPTF0SBnaX1-wBNiQ_26_4"/>
      <w:bookmarkStart w:id="1451" w:name="Tc_a4w2QgM0G0uXlBld1-qC9A_26_0"/>
      <w:bookmarkStart w:id="1452" w:name="Tc_9xt-VizKEEik1pVze7_UGw_25_4"/>
      <w:bookmarkStart w:id="1453" w:name="Tc_yru6DxrGO0C3g8r1_AV15w_25_0"/>
      <w:bookmarkStart w:id="1454" w:name="Tc_Dh3RFqXxX0GikXho76HPhg_24_4"/>
      <w:bookmarkStart w:id="1455" w:name="Tc_-qxv3XtEF0u7NQYTJ1JZxQ_24_0"/>
      <w:bookmarkStart w:id="1456" w:name="Tc_qww4-SAWZEGAtvyv2H_JTg_23_4"/>
      <w:bookmarkStart w:id="1457" w:name="Tc_l93caSoiu06kPKnR7sHgDA_23_0"/>
      <w:bookmarkStart w:id="1458" w:name="Tc_FQz33yDm9EaTe-VfiLpmvQ_22_0"/>
      <w:bookmarkStart w:id="1459" w:name="Tc_P9YhFFE5F0qRItPjBLDv7A_21_0"/>
      <w:bookmarkStart w:id="1460" w:name="Tc_vTdolmlT8E-CpuweBnlXjw_20_0"/>
      <w:bookmarkStart w:id="1461" w:name="Tc_HYQwVX0YYkOymATOHsldfw_19_5"/>
      <w:bookmarkStart w:id="1462" w:name="Tc_O29yoJZkCkuM0mHGVkBclA_19_0"/>
      <w:bookmarkStart w:id="1463" w:name="Tc_DaOYnYTRRkCpmk9V8rDJIg_18_4"/>
      <w:bookmarkStart w:id="1464" w:name="Tc_khsQ8Bebr0mmFs2bP8eV1Q_18_0"/>
      <w:bookmarkStart w:id="1465" w:name="Tc_plF8idcP20iiJYR99QN6Yg_17_4"/>
      <w:bookmarkStart w:id="1466" w:name="Tc_fR2AKjy2ZUSdF_DtZ1hjwg_17_0"/>
      <w:bookmarkStart w:id="1467" w:name="Tc_gzbtDGcOkkyKKSKd2y5hpw_16_5"/>
      <w:bookmarkStart w:id="1468" w:name="Tc_GX-rHIdkh0KFn9YQEGZ68w_16_2"/>
      <w:bookmarkStart w:id="1469" w:name="Tc_797bnHIt8U6w9cKu2J0Anw_16_0"/>
      <w:bookmarkStart w:id="1470" w:name="Tc_YkkZyo5ABE2-IPEWOVOI1Q_15_0"/>
      <w:bookmarkStart w:id="1471" w:name="Tc_BMuDbIRTVUCuJ7xQ25UnEg_14_0"/>
      <w:bookmarkStart w:id="1472" w:name="Tc_YWZvKktoX0-7Kee-326rfw_13_4"/>
      <w:bookmarkStart w:id="1473" w:name="Tc_nTtjY685w0qzpIrW-GjsCQ_13_0"/>
      <w:bookmarkStart w:id="1474" w:name="Tc_kfkEB8K8NEOMBbABKI2gvg_12_4"/>
      <w:bookmarkStart w:id="1475" w:name="Tc_gdVotRFnPUCxxt67DJ1mJw_12_0"/>
      <w:bookmarkStart w:id="1476" w:name="Tc_VAXgv4Mc0EOput4GeFXxAw_11_4"/>
      <w:bookmarkStart w:id="1477" w:name="Tc_iba4ZH5luU6dWwbZqPbGtw_11_0"/>
      <w:bookmarkStart w:id="1478" w:name="Tc_Bmy5BCICBEKMH223m4vuRw_10_4"/>
      <w:bookmarkStart w:id="1479" w:name="Tc_Kokn1BJj50S6hY4AJ0W1pA_10_0"/>
      <w:bookmarkStart w:id="1480" w:name="Tc_XfS7F5ZbR02P9GxGu3ewEw_9_5"/>
      <w:bookmarkStart w:id="1481" w:name="Tc_n76i3JAFdU20Yl-GrgarAg_9_0"/>
      <w:bookmarkStart w:id="1482" w:name="Tc_vXf0Fn3uI0qPPX08a_Nm0w_8_4"/>
      <w:bookmarkStart w:id="1483" w:name="Tc_qA8kPN49AEqn304KtOiNvg_8_0"/>
      <w:bookmarkStart w:id="1484" w:name="Tc_FjUsHnmCE0yeH7jhEUYtzQ_7_4"/>
      <w:bookmarkStart w:id="1485" w:name="Tc_QZZpRx9aF0mceGUkNwDiAg_7_0"/>
      <w:bookmarkStart w:id="1486" w:name="Tc_3pYP5nX7T0qJbYZyy7ldBA_6_4"/>
      <w:bookmarkStart w:id="1487" w:name="Tc_3wPWL7vJ6kqrGHxmdRjA_Q_6_0"/>
      <w:bookmarkStart w:id="1488" w:name="Tc_1giXBS4gCU2yXx2VcpU0jA_5_5"/>
      <w:bookmarkStart w:id="1489" w:name="Tc_1CiEvizdA0yMg0c_k5W3ww_5_2"/>
      <w:bookmarkStart w:id="1490" w:name="Tc_XpVj8p1ylkqp7lUXzd20eQ_5_0"/>
      <w:bookmarkStart w:id="1491" w:name="Tc_CGRiZjSr60C7EagXuRivKg_4_0"/>
      <w:bookmarkStart w:id="1492" w:name="Tc_JaBYo8bK1kaMvY5MueVyhw_3_6"/>
      <w:bookmarkStart w:id="1493" w:name="Tc_qEKyLSFp7U6RCPxKmJsVOA_3_4"/>
      <w:bookmarkStart w:id="1494" w:name="Tc_FAvFmDRWWUWBUpR-TqrhWQ_3_2"/>
      <w:bookmarkStart w:id="1495" w:name="Tc__8z6HXzB5EOKaWdJexaXgw_2_6"/>
      <w:bookmarkStart w:id="1496" w:name="Tc_2tfqtCfBU0eEZUYKLTlMIw_2_4"/>
      <w:bookmarkStart w:id="1497" w:name="Tc_1qpIwHQ8tUKBZkVKaEhJSA_2_2"/>
      <w:bookmarkStart w:id="1498" w:name="Tc_Usi7xIdce0ighJfr8NvtQQ_1_6"/>
      <w:bookmarkStart w:id="1499" w:name="Tc_VmAppAHpz0-_ScvjezeJvg_1_4"/>
      <w:bookmarkStart w:id="1500" w:name="Tc_1aYIkmSFzU2VKSPFq-qvbg_1_2"/>
      <w:bookmarkStart w:id="1501" w:name="_6eb4c0ad_92ac_41d6_af0f_a936dce419b7"/>
      <w:bookmarkStart w:id="1502" w:name="Tc_miORxp7U60azQ1xEF4xtqA_32_0"/>
      <w:bookmarkStart w:id="1503" w:name="Tc_1XOybIAyOUaU9sqD_z_5hw_31_6"/>
      <w:bookmarkStart w:id="1504" w:name="Tc_dcIF6lfjpUmoAlyxbaFoPQ_31_4"/>
      <w:bookmarkStart w:id="1505" w:name="Tc_Tf4Vm7oa5US9Mcsl7DZvIw_31_2"/>
      <w:bookmarkStart w:id="1506" w:name="Tc_MlRisS5YJUGPTNo23UfVPA_31_0"/>
      <w:bookmarkStart w:id="1507" w:name="Tc_5i3xtd4Hlk6XuAVh_r2Wng_30_4"/>
      <w:bookmarkStart w:id="1508" w:name="Tc_OeyAEFypR0Wtu6pbzvXRdg_30_0"/>
      <w:bookmarkStart w:id="1509" w:name="Tc_aQYXRuUA_Eup9sMKO9lrBA_29_4"/>
      <w:bookmarkStart w:id="1510" w:name="Tc_DGPalYkXx02obayNxOCJBA_29_0"/>
      <w:bookmarkStart w:id="1511" w:name="Tc_4cZKhc0Gi0ykdzh734IuxA_28_4"/>
      <w:bookmarkStart w:id="1512" w:name="Tc_wlsr-oJ42keLm4iw7i7Z0g_28_0"/>
      <w:bookmarkStart w:id="1513" w:name="Tc_3S5wQDEQ2U69O57wwO-9rA_27_4"/>
      <w:bookmarkStart w:id="1514" w:name="Tc_fbey95_p_ECmW3r3Jc49jg_27_0"/>
      <w:bookmarkStart w:id="1515" w:name="Tc_N_mC9IPTF0SBnaX1-wBNiQ_26_4"/>
      <w:bookmarkStart w:id="1516" w:name="Tc_a4w2QgM0G0uXlBld1-qC9A_26_0"/>
      <w:bookmarkStart w:id="1517" w:name="Tc_9xt-VizKEEik1pVze7_UGw_25_4"/>
      <w:bookmarkStart w:id="1518" w:name="Tc_yru6DxrGO0C3g8r1_AV15w_25_0"/>
      <w:bookmarkStart w:id="1519" w:name="Tc_Dh3RFqXxX0GikXho76HPhg_24_4"/>
      <w:bookmarkStart w:id="1520" w:name="Tc_-qxv3XtEF0u7NQYTJ1JZxQ_24_0"/>
      <w:bookmarkStart w:id="1521" w:name="Tc_qww4-SAWZEGAtvyv2H_JTg_23_4"/>
      <w:bookmarkStart w:id="1522" w:name="Tc_l93caSoiu06kPKnR7sHgDA_23_0"/>
      <w:bookmarkStart w:id="1523" w:name="Tc_FQz33yDm9EaTe-VfiLpmvQ_22_0"/>
      <w:bookmarkStart w:id="1524" w:name="Tc_P9YhFFE5F0qRItPjBLDv7A_21_0"/>
      <w:bookmarkStart w:id="1525" w:name="Tc_vTdolmlT8E-CpuweBnlXjw_20_0"/>
      <w:bookmarkStart w:id="1526" w:name="Tc_HYQwVX0YYkOymATOHsldfw_19_5"/>
      <w:bookmarkStart w:id="1527" w:name="Tc_O29yoJZkCkuM0mHGVkBclA_19_0"/>
      <w:bookmarkStart w:id="1528" w:name="Tc_DaOYnYTRRkCpmk9V8rDJIg_18_4"/>
      <w:bookmarkStart w:id="1529" w:name="Tc_khsQ8Bebr0mmFs2bP8eV1Q_18_0"/>
      <w:bookmarkStart w:id="1530" w:name="Tc_plF8idcP20iiJYR99QN6Yg_17_4"/>
      <w:bookmarkStart w:id="1531" w:name="Tc_fR2AKjy2ZUSdF_DtZ1hjwg_17_0"/>
      <w:bookmarkStart w:id="1532" w:name="Tc_gzbtDGcOkkyKKSKd2y5hpw_16_5"/>
      <w:bookmarkStart w:id="1533" w:name="Tc_GX-rHIdkh0KFn9YQEGZ68w_16_2"/>
      <w:bookmarkStart w:id="1534" w:name="Tc_797bnHIt8U6w9cKu2J0Anw_16_0"/>
      <w:bookmarkStart w:id="1535" w:name="Tc_YkkZyo5ABE2-IPEWOVOI1Q_15_0"/>
      <w:bookmarkStart w:id="1536" w:name="Tc_BMuDbIRTVUCuJ7xQ25UnEg_14_0"/>
      <w:bookmarkStart w:id="1537" w:name="Tc_YWZvKktoX0-7Kee-326rfw_13_4"/>
      <w:bookmarkStart w:id="1538" w:name="Tc_nTtjY685w0qzpIrW-GjsCQ_13_0"/>
      <w:bookmarkStart w:id="1539" w:name="Tc_kfkEB8K8NEOMBbABKI2gvg_12_4"/>
      <w:bookmarkStart w:id="1540" w:name="Tc_gdVotRFnPUCxxt67DJ1mJw_12_0"/>
      <w:bookmarkStart w:id="1541" w:name="Tc_VAXgv4Mc0EOput4GeFXxAw_11_4"/>
      <w:bookmarkStart w:id="1542" w:name="Tc_iba4ZH5luU6dWwbZqPbGtw_11_0"/>
      <w:bookmarkStart w:id="1543" w:name="Tc_Bmy5BCICBEKMH223m4vuRw_10_4"/>
      <w:bookmarkStart w:id="1544" w:name="Tc_Kokn1BJj50S6hY4AJ0W1pA_10_0"/>
      <w:bookmarkStart w:id="1545" w:name="Tc_XfS7F5ZbR02P9GxGu3ewEw_9_5"/>
      <w:bookmarkStart w:id="1546" w:name="Tc_n76i3JAFdU20Yl-GrgarAg_9_0"/>
      <w:bookmarkStart w:id="1547" w:name="Tc_vXf0Fn3uI0qPPX08a_Nm0w_8_4"/>
      <w:bookmarkStart w:id="1548" w:name="Tc_qA8kPN49AEqn304KtOiNvg_8_0"/>
      <w:bookmarkStart w:id="1549" w:name="Tc_FjUsHnmCE0yeH7jhEUYtzQ_7_4"/>
      <w:bookmarkStart w:id="1550" w:name="Tc_QZZpRx9aF0mceGUkNwDiAg_7_0"/>
      <w:bookmarkStart w:id="1551" w:name="Tc_3pYP5nX7T0qJbYZyy7ldBA_6_4"/>
      <w:bookmarkStart w:id="1552" w:name="Tc_3wPWL7vJ6kqrGHxmdRjA_Q_6_0"/>
      <w:bookmarkStart w:id="1553" w:name="Tc_1giXBS4gCU2yXx2VcpU0jA_5_5"/>
      <w:bookmarkStart w:id="1554" w:name="Tc_1CiEvizdA0yMg0c_k5W3ww_5_2"/>
      <w:bookmarkStart w:id="1555" w:name="Tc_XpVj8p1ylkqp7lUXzd20eQ_5_0"/>
      <w:bookmarkStart w:id="1556" w:name="Tc_CGRiZjSr60C7EagXuRivKg_4_0"/>
      <w:bookmarkStart w:id="1557" w:name="Tc_JaBYo8bK1kaMvY5MueVyhw_3_6"/>
      <w:bookmarkStart w:id="1558" w:name="Tc_qEKyLSFp7U6RCPxKmJsVOA_3_4"/>
      <w:bookmarkStart w:id="1559" w:name="Tc_FAvFmDRWWUWBUpR-TqrhWQ_3_2"/>
      <w:bookmarkStart w:id="1560" w:name="Tc__8z6HXzB5EOKaWdJexaXgw_2_6"/>
      <w:bookmarkStart w:id="1561" w:name="Tc_2tfqtCfBU0eEZUYKLTlMIw_2_4"/>
      <w:bookmarkStart w:id="1562" w:name="Tc_1qpIwHQ8tUKBZkVKaEhJSA_2_2"/>
      <w:bookmarkStart w:id="1563" w:name="Tc_Usi7xIdce0ighJfr8NvtQQ_1_6"/>
      <w:bookmarkStart w:id="1564" w:name="Tc_VmAppAHpz0-_ScvjezeJvg_1_4"/>
      <w:bookmarkStart w:id="1565" w:name="Tc_1aYIkmSFzU2VKSPFq-qvbg_1_2"/>
      <w:bookmarkStart w:id="1566" w:name="_6eb4c0ad_92ac_41d6_af0f_a936dce419b7"/>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p>
    <w:tbl>
      <w:tblPr>
        <w:tblW w:w="9697" w:type="dxa"/>
        <w:jc w:val="left"/>
        <w:tblInd w:w="0" w:type="dxa"/>
        <w:tblCellMar>
          <w:top w:w="0" w:type="dxa"/>
          <w:left w:w="0" w:type="dxa"/>
          <w:bottom w:w="0" w:type="dxa"/>
          <w:right w:w="0" w:type="dxa"/>
        </w:tblCellMar>
      </w:tblPr>
      <w:tblGrid>
        <w:gridCol w:w="4936"/>
        <w:gridCol w:w="326"/>
        <w:gridCol w:w="1501"/>
        <w:gridCol w:w="326"/>
        <w:gridCol w:w="931"/>
        <w:gridCol w:w="326"/>
        <w:gridCol w:w="1351"/>
      </w:tblGrid>
      <w:tr>
        <w:trPr/>
        <w:tc>
          <w:tcPr>
            <w:tcW w:w="4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134360" cy="175260"/>
                      <wp:effectExtent l="0" t="0" r="0" b="0"/>
                      <wp:wrapNone/>
                      <wp:docPr id="389" name="Frame381"/>
                      <a:graphic xmlns:a="http://schemas.openxmlformats.org/drawingml/2006/main">
                        <a:graphicData uri="http://schemas.microsoft.com/office/word/2010/wordprocessingShape">
                          <wps:wsp>
                            <wps:cNvSpPr txBox="1"/>
                            <wps:spPr>
                              <a:xfrm>
                                <a:off x="0" y="0"/>
                                <a:ext cx="3134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53135" cy="175260"/>
                      <wp:effectExtent l="0" t="0" r="0" b="0"/>
                      <wp:wrapNone/>
                      <wp:docPr id="391" name="Frame383"/>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91185" cy="175260"/>
                      <wp:effectExtent l="0" t="0" r="0" b="0"/>
                      <wp:wrapNone/>
                      <wp:docPr id="393" name="Frame38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57885" cy="175260"/>
                      <wp:effectExtent l="0" t="0" r="0" b="0"/>
                      <wp:wrapNone/>
                      <wp:docPr id="395" name="Frame387"/>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 of</w:t>
            </w:r>
          </w:p>
        </w:tc>
        <w:tc>
          <w:tcPr>
            <w:tcW w:w="326" w:type="dxa"/>
            <w:tcBorders/>
            <w:shd w:fill="auto" w:val="clear"/>
            <w:vAlign w:val="center"/>
          </w:tcPr>
          <w:p>
            <w:pPr>
              <w:pStyle w:val="TableContents"/>
              <w:spacing w:before="0" w:after="1"/>
              <w:ind w:left="0" w:right="0" w:hanging="0"/>
              <w:jc w:val="center"/>
              <w:rPr/>
            </w:pPr>
            <w:r>
              <w:rPr/>
              <w:t>    </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9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adoption</w:t>
            </w:r>
          </w:p>
        </w:tc>
        <w:tc>
          <w:tcPr>
            <w:tcW w:w="326" w:type="dxa"/>
            <w:tcBorders/>
            <w:shd w:fill="auto" w:val="clear"/>
            <w:vAlign w:val="center"/>
          </w:tcPr>
          <w:p>
            <w:pPr>
              <w:pStyle w:val="TableContents"/>
              <w:spacing w:before="0" w:after="1"/>
              <w:ind w:left="0" w:right="0" w:hanging="0"/>
              <w:jc w:val="center"/>
              <w:rPr/>
            </w:pPr>
            <w:r>
              <w:rPr/>
              <w:t>​</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January 1, 2022</w:t>
            </w:r>
          </w:p>
        </w:tc>
      </w:tr>
      <w:tr>
        <w:trPr/>
        <w:tc>
          <w:tcPr>
            <w:tcW w:w="49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spacing w:before="0" w:after="1"/>
              <w:ind w:left="0" w:right="0" w:hanging="0"/>
              <w:rPr/>
            </w:pPr>
            <w:r>
              <w:rPr/>
              <w:t>​</w:t>
            </w:r>
          </w:p>
        </w:tc>
        <w:tc>
          <w:tcPr>
            <w:tcW w:w="15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351"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317,483</w:t>
            </w:r>
          </w:p>
        </w:tc>
        <w:tc>
          <w:tcPr>
            <w:tcW w:w="326" w:type="dxa"/>
            <w:tcBorders/>
            <w:shd w:fill="auto" w:val="clear"/>
            <w:vAlign w:val="center"/>
          </w:tcPr>
          <w:p>
            <w:pPr>
              <w:pStyle w:val="TableContents"/>
              <w:spacing w:lineRule="auto" w:line="240" w:before="0" w:after="1"/>
              <w:ind w:left="0" w:right="0" w:hanging="0"/>
              <w:jc w:val="right"/>
              <w:rPr>
                <w:rFonts w:ascii="Times New Roman;Times;serif" w:hAnsi="Times New Roman;Times;serif"/>
                <w:sz w:val="15"/>
              </w:rPr>
            </w:pPr>
            <w:r>
              <w:rPr>
                <w:rFonts w:ascii="Times New Roman;Times;serif" w:hAnsi="Times New Roman;Times;serif"/>
                <w:sz w:val="15"/>
              </w:rPr>
              <w:t>(c)</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317,483</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161,277</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161,277</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233,735</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233,735</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Salary and welfare payable</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95,238</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95,238</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expenses and other payables</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447,380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(6,483)</w:t>
            </w:r>
          </w:p>
        </w:tc>
        <w:tc>
          <w:tcPr>
            <w:tcW w:w="326" w:type="dxa"/>
            <w:tcBorders/>
            <w:shd w:fill="auto" w:val="clear"/>
            <w:vAlign w:val="center"/>
          </w:tcPr>
          <w:p>
            <w:pPr>
              <w:pStyle w:val="TableContents"/>
              <w:spacing w:lineRule="auto" w:line="240" w:before="0" w:after="1"/>
              <w:ind w:left="0" w:right="0" w:hanging="0"/>
              <w:jc w:val="right"/>
              <w:rPr>
                <w:rFonts w:ascii="Times New Roman;Times;serif" w:hAnsi="Times New Roman;Times;serif"/>
                <w:sz w:val="15"/>
              </w:rPr>
            </w:pPr>
            <w:r>
              <w:rPr>
                <w:rFonts w:ascii="Times New Roman;Times;serif" w:hAnsi="Times New Roman;Times;serif"/>
                <w:sz w:val="15"/>
              </w:rPr>
              <w:t>(d)</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440,897</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Income taxes payable</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46,176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46,176</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Short-term borrowings</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64,808</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64,808</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amounts due to related parties</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1"/>
              <w:ind w:left="0" w:right="0" w:hanging="0"/>
              <w:rPr/>
            </w:pPr>
            <w:r>
              <w:rPr/>
              <w:t> </w:t>
            </w:r>
          </w:p>
        </w:tc>
        <w:tc>
          <w:tcPr>
            <w:tcW w:w="150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1,051,386</w:t>
            </w:r>
          </w:p>
        </w:tc>
        <w:tc>
          <w:tcPr>
            <w:tcW w:w="326" w:type="dxa"/>
            <w:tcBorders/>
            <w:shd w:fill="CCEEFF" w:val="clear"/>
            <w:vAlign w:val="center"/>
          </w:tcPr>
          <w:p>
            <w:pPr>
              <w:pStyle w:val="TableContents"/>
              <w:spacing w:before="0" w:after="1"/>
              <w:ind w:left="0" w:right="0" w:hanging="0"/>
              <w:rPr/>
            </w:pPr>
            <w:r>
              <w:rPr/>
              <w:t> </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311,000</w:t>
            </w:r>
          </w:p>
        </w:tc>
        <w:tc>
          <w:tcPr>
            <w:tcW w:w="326" w:type="dxa"/>
            <w:tcBorders/>
            <w:shd w:fill="CCEEFF" w:val="clear"/>
            <w:vAlign w:val="center"/>
          </w:tcPr>
          <w:p>
            <w:pPr>
              <w:pStyle w:val="TableContents"/>
              <w:spacing w:before="0" w:after="1"/>
              <w:ind w:left="0" w:right="0" w:hanging="0"/>
              <w:rPr/>
            </w:pPr>
            <w:r>
              <w:rPr/>
              <w:t> </w:t>
            </w:r>
          </w:p>
        </w:tc>
        <w:tc>
          <w:tcPr>
            <w:tcW w:w="135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1,362,386</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auto" w:val="clear"/>
            <w:vAlign w:val="center"/>
          </w:tcPr>
          <w:p>
            <w:pPr>
              <w:pStyle w:val="TableContents"/>
              <w:spacing w:before="0" w:after="1"/>
              <w:ind w:left="0" w:right="0" w:hanging="0"/>
              <w:rPr/>
            </w:pPr>
            <w:r>
              <w:rPr/>
              <w:t> </w:t>
            </w:r>
          </w:p>
        </w:tc>
        <w:tc>
          <w:tcPr>
            <w:tcW w:w="1501"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31"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351"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  </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2,081,578</w:t>
            </w:r>
          </w:p>
        </w:tc>
        <w:tc>
          <w:tcPr>
            <w:tcW w:w="326" w:type="dxa"/>
            <w:tcBorders/>
            <w:shd w:fill="CCEEFF" w:val="clear"/>
            <w:vAlign w:val="center"/>
          </w:tcPr>
          <w:p>
            <w:pPr>
              <w:pStyle w:val="TableContents"/>
              <w:spacing w:lineRule="auto" w:line="240" w:before="0" w:after="1"/>
              <w:ind w:left="0" w:right="0" w:hanging="0"/>
              <w:jc w:val="right"/>
              <w:rPr>
                <w:rFonts w:ascii="Times New Roman;Times;serif" w:hAnsi="Times New Roman;Times;serif"/>
                <w:sz w:val="15"/>
              </w:rPr>
            </w:pPr>
            <w:r>
              <w:rPr>
                <w:rFonts w:ascii="Times New Roman;Times;serif" w:hAnsi="Times New Roman;Times;serif"/>
                <w:sz w:val="15"/>
              </w:rPr>
              <w:t>(c)</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2,081,578</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267,909</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267,909</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Long-term borrowings, non-current portion</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43,630</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43,630</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317,607</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(204,056)</w:t>
            </w:r>
          </w:p>
        </w:tc>
        <w:tc>
          <w:tcPr>
            <w:tcW w:w="326" w:type="dxa"/>
            <w:tcBorders/>
            <w:shd w:fill="auto" w:val="clear"/>
            <w:vAlign w:val="center"/>
          </w:tcPr>
          <w:p>
            <w:pPr>
              <w:pStyle w:val="TableContents"/>
              <w:spacing w:lineRule="auto" w:line="240" w:before="0" w:after="1"/>
              <w:ind w:left="0" w:right="0" w:hanging="0"/>
              <w:rPr>
                <w:rFonts w:ascii="Times New Roman;Times;serif" w:hAnsi="Times New Roman;Times;serif"/>
                <w:sz w:val="15"/>
              </w:rPr>
            </w:pPr>
            <w:r>
              <w:rPr>
                <w:rFonts w:ascii="Times New Roman;Times;serif" w:hAnsi="Times New Roman;Times;serif"/>
                <w:sz w:val="15"/>
              </w:rPr>
              <w:t>(d)</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113,551</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b/>
                <w:sz w:val="20"/>
              </w:rPr>
              <w:t>Total non-current liabilities</w:t>
            </w: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 </w:t>
            </w:r>
          </w:p>
        </w:tc>
        <w:tc>
          <w:tcPr>
            <w:tcW w:w="150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629,146</w:t>
            </w:r>
          </w:p>
        </w:tc>
        <w:tc>
          <w:tcPr>
            <w:tcW w:w="326" w:type="dxa"/>
            <w:tcBorders/>
            <w:shd w:fill="CCEEFF" w:val="clear"/>
            <w:vAlign w:val="center"/>
          </w:tcPr>
          <w:p>
            <w:pPr>
              <w:pStyle w:val="TableContents"/>
              <w:spacing w:before="0" w:after="1"/>
              <w:ind w:left="0" w:right="0" w:hanging="0"/>
              <w:rPr/>
            </w:pPr>
            <w:r>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1,877,522</w:t>
            </w:r>
          </w:p>
        </w:tc>
        <w:tc>
          <w:tcPr>
            <w:tcW w:w="326" w:type="dxa"/>
            <w:tcBorders/>
            <w:shd w:fill="CCEEFF" w:val="clear"/>
            <w:vAlign w:val="center"/>
          </w:tcPr>
          <w:p>
            <w:pPr>
              <w:pStyle w:val="TableContents"/>
              <w:spacing w:before="0" w:after="1"/>
              <w:ind w:left="0" w:right="0" w:hanging="0"/>
              <w:rPr/>
            </w:pPr>
            <w:r>
              <w:rPr/>
              <w:t> </w:t>
            </w:r>
          </w:p>
        </w:tc>
        <w:tc>
          <w:tcPr>
            <w:tcW w:w="13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2,506,668</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1"/>
              <w:ind w:left="0" w:right="0" w:hanging="0"/>
              <w:rPr/>
            </w:pPr>
            <w:r>
              <w:rPr/>
              <w:t> </w:t>
            </w:r>
          </w:p>
        </w:tc>
        <w:tc>
          <w:tcPr>
            <w:tcW w:w="1501" w:type="dxa"/>
            <w:tcBorders>
              <w:top w:val="double" w:sz="6"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1,680,532</w:t>
            </w:r>
          </w:p>
        </w:tc>
        <w:tc>
          <w:tcPr>
            <w:tcW w:w="326" w:type="dxa"/>
            <w:tcBorders/>
            <w:shd w:fill="auto" w:val="clear"/>
            <w:vAlign w:val="center"/>
          </w:tcPr>
          <w:p>
            <w:pPr>
              <w:pStyle w:val="TableContents"/>
              <w:spacing w:before="0" w:after="1"/>
              <w:ind w:left="0" w:right="0" w:hanging="0"/>
              <w:rPr/>
            </w:pPr>
            <w:r>
              <w:rPr/>
              <w:t> </w:t>
            </w:r>
          </w:p>
        </w:tc>
        <w:tc>
          <w:tcPr>
            <w:tcW w:w="931" w:type="dxa"/>
            <w:tcBorders>
              <w:top w:val="double" w:sz="6"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2,188,522</w:t>
            </w:r>
          </w:p>
        </w:tc>
        <w:tc>
          <w:tcPr>
            <w:tcW w:w="326" w:type="dxa"/>
            <w:tcBorders/>
            <w:shd w:fill="auto" w:val="clear"/>
            <w:vAlign w:val="center"/>
          </w:tcPr>
          <w:p>
            <w:pPr>
              <w:pStyle w:val="TableContents"/>
              <w:spacing w:before="0" w:after="1"/>
              <w:ind w:left="0" w:right="0" w:hanging="0"/>
              <w:rPr/>
            </w:pPr>
            <w:r>
              <w:rPr/>
              <w:t> </w:t>
            </w:r>
          </w:p>
        </w:tc>
        <w:tc>
          <w:tcPr>
            <w:tcW w:w="1351" w:type="dxa"/>
            <w:tcBorders>
              <w:top w:val="double" w:sz="6"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3,869,054</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spacing w:before="0" w:after="1"/>
              <w:ind w:left="0" w:right="0" w:hanging="0"/>
              <w:rPr/>
            </w:pPr>
            <w:r>
              <w:rPr/>
              <w:t> </w:t>
            </w:r>
          </w:p>
        </w:tc>
        <w:tc>
          <w:tcPr>
            <w:tcW w:w="1501"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351"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  </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Class A ordinary shares</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Class B ordinary shares </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764,502</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764,502</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spacing w:before="0" w:after="1"/>
              <w:ind w:left="0" w:right="0" w:hanging="0"/>
              <w:rPr/>
            </w:pPr>
            <w:r>
              <w:rPr/>
              <w:t> </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(176,403)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(176,403)</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(8,947)</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(8,947)</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equity attributable to shareholders of the Company</w:t>
            </w:r>
          </w:p>
        </w:tc>
        <w:tc>
          <w:tcPr>
            <w:tcW w:w="326" w:type="dxa"/>
            <w:tcBorders/>
            <w:shd w:fill="CCEEFF" w:val="clear"/>
            <w:vAlign w:val="center"/>
          </w:tcPr>
          <w:p>
            <w:pPr>
              <w:pStyle w:val="TableContents"/>
              <w:spacing w:before="0" w:after="1"/>
              <w:ind w:left="0" w:right="0" w:hanging="0"/>
              <w:rPr/>
            </w:pPr>
            <w:r>
              <w:rPr/>
              <w:t> </w:t>
            </w:r>
          </w:p>
        </w:tc>
        <w:tc>
          <w:tcPr>
            <w:tcW w:w="150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579,426</w:t>
            </w:r>
          </w:p>
        </w:tc>
        <w:tc>
          <w:tcPr>
            <w:tcW w:w="326" w:type="dxa"/>
            <w:tcBorders/>
            <w:shd w:fill="CCEEFF" w:val="clear"/>
            <w:vAlign w:val="center"/>
          </w:tcPr>
          <w:p>
            <w:pPr>
              <w:pStyle w:val="TableContents"/>
              <w:spacing w:before="0" w:after="1"/>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579,426</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Non-controlling interests</w:t>
            </w:r>
          </w:p>
        </w:tc>
        <w:tc>
          <w:tcPr>
            <w:tcW w:w="326" w:type="dxa"/>
            <w:tcBorders/>
            <w:shd w:fill="auto" w:val="clear"/>
            <w:vAlign w:val="center"/>
          </w:tcPr>
          <w:p>
            <w:pPr>
              <w:pStyle w:val="TableContents"/>
              <w:spacing w:before="0" w:after="1"/>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(14,811)</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(14,811)</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spacing w:before="0" w:after="1"/>
              <w:ind w:left="0" w:right="0" w:hanging="0"/>
              <w:rPr/>
            </w:pPr>
            <w:r>
              <w:rPr/>
              <w:t> </w:t>
            </w:r>
          </w:p>
        </w:tc>
        <w:tc>
          <w:tcPr>
            <w:tcW w:w="150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564,615</w:t>
            </w:r>
          </w:p>
        </w:tc>
        <w:tc>
          <w:tcPr>
            <w:tcW w:w="326" w:type="dxa"/>
            <w:tcBorders/>
            <w:shd w:fill="CCEEFF" w:val="clear"/>
            <w:vAlign w:val="center"/>
          </w:tcPr>
          <w:p>
            <w:pPr>
              <w:pStyle w:val="TableContents"/>
              <w:spacing w:before="0" w:after="1"/>
              <w:ind w:left="0" w:right="0" w:hanging="0"/>
              <w:rPr/>
            </w:pPr>
            <w:r>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564,615</w:t>
            </w:r>
          </w:p>
        </w:tc>
      </w:tr>
      <w:tr>
        <w:trPr/>
        <w:tc>
          <w:tcPr>
            <w:tcW w:w="493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auto" w:val="clear"/>
            <w:vAlign w:val="center"/>
          </w:tcPr>
          <w:p>
            <w:pPr>
              <w:pStyle w:val="TableContents"/>
              <w:spacing w:before="0" w:after="1"/>
              <w:ind w:left="0" w:right="0" w:hanging="0"/>
              <w:rPr/>
            </w:pPr>
            <w:r>
              <w:rPr/>
              <w:t> </w:t>
            </w:r>
          </w:p>
        </w:tc>
        <w:tc>
          <w:tcPr>
            <w:tcW w:w="150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5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pPr>
            <w:r>
              <w:rPr/>
              <w:t>—</w:t>
            </w:r>
          </w:p>
        </w:tc>
      </w:tr>
      <w:tr>
        <w:trPr/>
        <w:tc>
          <w:tcPr>
            <w:tcW w:w="4936"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liabilities and shareholders’ equity</w:t>
            </w:r>
          </w:p>
        </w:tc>
        <w:tc>
          <w:tcPr>
            <w:tcW w:w="326" w:type="dxa"/>
            <w:tcBorders/>
            <w:shd w:fill="CCEEFF" w:val="clear"/>
            <w:vAlign w:val="center"/>
          </w:tcPr>
          <w:p>
            <w:pPr>
              <w:pStyle w:val="TableContents"/>
              <w:spacing w:before="0" w:after="1"/>
              <w:ind w:left="0" w:right="0" w:hanging="0"/>
              <w:rPr/>
            </w:pPr>
            <w:r>
              <w:rPr/>
              <w:t> </w:t>
            </w:r>
          </w:p>
        </w:tc>
        <w:tc>
          <w:tcPr>
            <w:tcW w:w="150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2,245,147</w:t>
            </w:r>
          </w:p>
        </w:tc>
        <w:tc>
          <w:tcPr>
            <w:tcW w:w="326" w:type="dxa"/>
            <w:tcBorders/>
            <w:shd w:fill="CCEEFF" w:val="clear"/>
            <w:vAlign w:val="center"/>
          </w:tcPr>
          <w:p>
            <w:pPr>
              <w:pStyle w:val="TableContents"/>
              <w:spacing w:before="0" w:after="1"/>
              <w:ind w:left="0" w:right="0" w:hanging="0"/>
              <w:rPr/>
            </w:pPr>
            <w:r>
              <w:rPr/>
              <w:t> </w:t>
            </w:r>
          </w:p>
        </w:tc>
        <w:tc>
          <w:tcPr>
            <w:tcW w:w="93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2,188,522</w:t>
            </w:r>
          </w:p>
        </w:tc>
        <w:tc>
          <w:tcPr>
            <w:tcW w:w="326" w:type="dxa"/>
            <w:tcBorders/>
            <w:shd w:fill="CCEEFF" w:val="clear"/>
            <w:vAlign w:val="center"/>
          </w:tcPr>
          <w:p>
            <w:pPr>
              <w:pStyle w:val="TableContents"/>
              <w:spacing w:before="0" w:after="1"/>
              <w:ind w:left="0" w:right="0" w:hanging="0"/>
              <w:rPr/>
            </w:pPr>
            <w:r>
              <w:rPr/>
              <w:t> </w:t>
            </w:r>
          </w:p>
        </w:tc>
        <w:tc>
          <w:tcPr>
            <w:tcW w:w="135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4,433,669</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00"/>
              <w:rPr>
                <w:rFonts w:ascii="Times New Roman;Times;serif" w:hAnsi="Times New Roman;Times;serif"/>
                <w:sz w:val="16"/>
              </w:rPr>
            </w:pPr>
            <w:r>
              <w:rPr>
                <w:rFonts w:ascii="Times New Roman;Times;serif" w:hAnsi="Times New Roman;Times;serif"/>
                <w:sz w:val="16"/>
              </w:rPr>
              <w:t>(a)</w:t>
            </w:r>
          </w:p>
        </w:tc>
        <w:tc>
          <w:tcPr>
            <w:tcW w:w="9894" w:type="dxa"/>
            <w:tcBorders/>
            <w:shd w:fill="auto" w:val="clear"/>
            <w:vAlign w:val="center"/>
          </w:tcPr>
          <w:p>
            <w:pPr>
              <w:pStyle w:val="TableContents"/>
              <w:spacing w:before="0" w:after="200"/>
              <w:rPr>
                <w:rFonts w:ascii="Times New Roman;Times;serif" w:hAnsi="Times New Roman;Times;serif"/>
                <w:sz w:val="16"/>
              </w:rPr>
            </w:pPr>
            <w:r>
              <w:rPr>
                <w:rFonts w:ascii="Times New Roman;Times;serif" w:hAnsi="Times New Roman;Times;serif"/>
                <w:sz w:val="16"/>
              </w:rPr>
              <w:t>Represents the net result of capitalization of operating lease payments and reclassification of deferred rental initial direct cost and deferred rent accrual.</w:t>
            </w:r>
          </w:p>
        </w:tc>
      </w:tr>
    </w:tbl>
    <w:tbl>
      <w:tblPr>
        <w:tblW w:w="6872" w:type="dxa"/>
        <w:jc w:val="left"/>
        <w:tblInd w:w="0" w:type="dxa"/>
        <w:tblCellMar>
          <w:top w:w="0" w:type="dxa"/>
          <w:left w:w="0" w:type="dxa"/>
          <w:bottom w:w="0" w:type="dxa"/>
          <w:right w:w="0" w:type="dxa"/>
        </w:tblCellMar>
      </w:tblPr>
      <w:tblGrid>
        <w:gridCol w:w="331"/>
        <w:gridCol w:w="6541"/>
      </w:tblGrid>
      <w:tr>
        <w:trPr/>
        <w:tc>
          <w:tcPr>
            <w:tcW w:w="331" w:type="dxa"/>
            <w:tcBorders/>
            <w:shd w:fill="auto" w:val="clear"/>
            <w:vAlign w:val="center"/>
          </w:tcPr>
          <w:p>
            <w:pPr>
              <w:pStyle w:val="TableContents"/>
              <w:spacing w:before="0" w:after="200"/>
              <w:rPr>
                <w:rFonts w:ascii="Times New Roman;Times;serif" w:hAnsi="Times New Roman;Times;serif"/>
                <w:sz w:val="16"/>
              </w:rPr>
            </w:pPr>
            <w:r>
              <w:rPr>
                <w:rFonts w:ascii="Times New Roman;Times;serif" w:hAnsi="Times New Roman;Times;serif"/>
                <w:sz w:val="16"/>
              </w:rPr>
              <w:t>(b)</w:t>
            </w:r>
          </w:p>
        </w:tc>
        <w:tc>
          <w:tcPr>
            <w:tcW w:w="6541" w:type="dxa"/>
            <w:tcBorders/>
            <w:shd w:fill="auto" w:val="clear"/>
            <w:vAlign w:val="center"/>
          </w:tcPr>
          <w:p>
            <w:pPr>
              <w:pStyle w:val="TableContents"/>
              <w:spacing w:before="0" w:after="200"/>
              <w:rPr>
                <w:rFonts w:ascii="Times New Roman;Times;serif" w:hAnsi="Times New Roman;Times;serif"/>
                <w:sz w:val="16"/>
              </w:rPr>
            </w:pPr>
            <w:r>
              <w:rPr>
                <w:rFonts w:ascii="Times New Roman;Times;serif" w:hAnsi="Times New Roman;Times;serif"/>
                <w:sz w:val="16"/>
              </w:rPr>
              <w:t>Represents deferred rental initial direct cost reclassified to operating lease right-of-use assets.</w:t>
            </w:r>
          </w:p>
        </w:tc>
      </w:tr>
    </w:tbl>
    <w:tbl>
      <w:tblPr>
        <w:tblW w:w="7292" w:type="dxa"/>
        <w:jc w:val="left"/>
        <w:tblInd w:w="0" w:type="dxa"/>
        <w:tblCellMar>
          <w:top w:w="0" w:type="dxa"/>
          <w:left w:w="0" w:type="dxa"/>
          <w:bottom w:w="0" w:type="dxa"/>
          <w:right w:w="0" w:type="dxa"/>
        </w:tblCellMar>
      </w:tblPr>
      <w:tblGrid>
        <w:gridCol w:w="316"/>
        <w:gridCol w:w="6976"/>
      </w:tblGrid>
      <w:tr>
        <w:trPr/>
        <w:tc>
          <w:tcPr>
            <w:tcW w:w="316" w:type="dxa"/>
            <w:tcBorders/>
            <w:shd w:fill="auto" w:val="clear"/>
            <w:vAlign w:val="center"/>
          </w:tcPr>
          <w:p>
            <w:pPr>
              <w:pStyle w:val="TableContents"/>
              <w:spacing w:before="0" w:after="200"/>
              <w:rPr>
                <w:rFonts w:ascii="Times New Roman;Times;serif" w:hAnsi="Times New Roman;Times;serif"/>
                <w:sz w:val="16"/>
              </w:rPr>
            </w:pPr>
            <w:r>
              <w:rPr>
                <w:rFonts w:ascii="Times New Roman;Times;serif" w:hAnsi="Times New Roman;Times;serif"/>
                <w:sz w:val="16"/>
              </w:rPr>
              <w:t>(c)</w:t>
            </w:r>
          </w:p>
        </w:tc>
        <w:tc>
          <w:tcPr>
            <w:tcW w:w="6976" w:type="dxa"/>
            <w:tcBorders/>
            <w:shd w:fill="auto" w:val="clear"/>
            <w:vAlign w:val="center"/>
          </w:tcPr>
          <w:p>
            <w:pPr>
              <w:pStyle w:val="TableContents"/>
              <w:spacing w:before="0" w:after="200"/>
              <w:rPr>
                <w:rFonts w:ascii="Times New Roman;Times;serif" w:hAnsi="Times New Roman;Times;serif"/>
                <w:sz w:val="16"/>
              </w:rPr>
            </w:pPr>
            <w:r>
              <w:rPr>
                <w:rFonts w:ascii="Times New Roman;Times;serif" w:hAnsi="Times New Roman;Times;serif"/>
                <w:sz w:val="16"/>
              </w:rPr>
              <w:t>Represents recognition of the current portion and non-current portion of operating lease liabilities.</w:t>
            </w:r>
          </w:p>
        </w:tc>
      </w:tr>
    </w:tbl>
    <w:tbl>
      <w:tblPr>
        <w:tblW w:w="9827" w:type="dxa"/>
        <w:jc w:val="left"/>
        <w:tblInd w:w="0" w:type="dxa"/>
        <w:tblCellMar>
          <w:top w:w="0" w:type="dxa"/>
          <w:left w:w="0" w:type="dxa"/>
          <w:bottom w:w="0" w:type="dxa"/>
          <w:right w:w="0" w:type="dxa"/>
        </w:tblCellMar>
      </w:tblPr>
      <w:tblGrid>
        <w:gridCol w:w="331"/>
        <w:gridCol w:w="9496"/>
      </w:tblGrid>
      <w:tr>
        <w:trPr/>
        <w:tc>
          <w:tcPr>
            <w:tcW w:w="33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(d)</w:t>
            </w:r>
          </w:p>
        </w:tc>
        <w:tc>
          <w:tcPr>
            <w:tcW w:w="9496"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Represents reclassification of the current portion and non-current portion of deferred rent accrual to operating lease right-of-use assets.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January 2017, the FASB issued ASU 2017-04, Simplifying the Test for Goodwill Impairment,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The guidance is effective for public companies for annual reporting periods, and interim periods within those years beginning after December 15, 2019. For all other entities it is effective for fiscal years beginning after December 15, 2022, including interim periods within those fiscal years. The Group early adopted the new standard on January 1, 2022, and the adoption did not have a material impact on its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November 2021, the FASB issued ASU 2021-10, Government Assistance (Topic 832) — Disclosures by Business Entities about Government Assistance (“ASU 2021-10”). It requires issuers to make annual disclosures about government assistance, including the nature of the transaction, the related accounting policy, the financial statement line items affected and the amounts applicable to each financial statement line item, as well as any significant terms and conditions, including commitments and contingencies. The amendments in ASU 2021-10 are effective for all entities for fiscal years, and interim periods within those fiscal years, beginning after December 15, 2021. The Group adopted this new standard on January 1, 2022, using the retrospective approach. See Note 2(w) for related disclosure.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(b)Principles of consolidation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consolidated financial statements include the financial statements of the Company and its subsidiaries.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All intercompany transactions and balances among the Company and its subsidiaries have been eliminated upon consolidation.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(c)Use of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preparation of the Company’s consolidated financial statements in conformity with U.S. GAAP requires management to make estimates and assumptions that affect the reported amounts of assets and liabilities, disclosure of contingent assets and liabilities at the balance sheet date of the financial statements and the reported amounts of revenues and expenses during the reporting period. Actual results could differ from those estimates. Significant items subject to such estimates and assumptions include, but are not limited to, estimate of breakage, the fair value of share-based compensation awards, and the recoverability of long-lived assets. Changes in facts and circumstances may result in revised estimates. Actual results could differ from those estimates, and as such, differences may be material to the consolidated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(d)Convenience translation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Translations of balances in the consolidated financial statements from RMB into United States dollars (“USD”) as of and for the year ended December 31, 2022 are solely for the convenience of the readers and were calculated at the rate of USD1.00=RMB 6.8972 representing the exchange rate set forth in the H.10 statistical release of the Federal Reserve Board on December 30, 2022. No representation is made that the RMB amounts could have been, or could be, converted, realized or settled into USD at that rate on December 31, 2022, or at any other rate. The USD convenience translation is not required under U.S. GAAP and all USD convenience translation amounts in the accompanying consolidated financial statements are unaudited.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(e)Functional currency and foreign currency translation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Group’s reporting currency is RMB. RMB is the currency of the primary economic environment in which the Group operates. The functional currency of the Company and Hong Kong subsidiary is USD. The functional currency of the Company’s PRC subsidiaries is the RMB. The Group determined its functional currency to be RMB based on the criteria of Accounting Standards Codification (“ASC”) 830, Foreign Currency Matters.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Transactions denominated in currencies other than the functional currency are remeasured into the functional currency at the exchange rates prevailing at the date of the transaction. Monetary assets and liabilities denominated in foreign currency are remeasured into the functional currency using the applicable exchange rate at the balance sheet date. The resulted exchange differences are recorded in the other (expense) income, net in the consolidated statements of comprehensive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results of foreign operations are translated into RMB at the exchange rates as of the balance sheet date for assets and liabilities, the average daily exchange rate for each month for income and expense items and the historical exchange rates for equity accounts. Translation gains and losses are recorded in other comprehensive income and accumulated in the translation adjustment component of equity until the sale or liquidation of the foreign entity.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1567" w:name="Tc_5KGtN7WJhUinu7qTX8aDew_16_0"/>
      <w:bookmarkStart w:id="1568" w:name="Tc_dCYPsWrer0ORbskRN23jSA_15_0"/>
      <w:bookmarkStart w:id="1569" w:name="Tc_IAA3pyz9_UyfQc0wB_0xEQ_14_0"/>
      <w:bookmarkStart w:id="1570" w:name="Tc_AcllgoVCDkmLdYknblauEQ_13_0"/>
      <w:bookmarkStart w:id="1571" w:name="Tc_766771f7wk6PBXp-j00Tzw_12_0"/>
      <w:bookmarkStart w:id="1572" w:name="Tc_Lrg9w1WSEUqwbBNEkBJkFQ_11_0"/>
      <w:bookmarkStart w:id="1573" w:name="Tc_Wq-fjN9990-1821ugaURgg_10_0"/>
      <w:bookmarkStart w:id="1574" w:name="Tc_4qYCR69JME-cNf7drL_RIA_9_0"/>
      <w:bookmarkStart w:id="1575" w:name="Tc__m7Tfzm3vEmJkZRbWyZR0Q_8_0"/>
      <w:bookmarkStart w:id="1576" w:name="Tc_J6K1MNJ3GkCqsOf3CWYs_g_7_0"/>
      <w:bookmarkStart w:id="1577" w:name="Tc_ZnNCPIvC4Uudb7IYYSGlPw_6_0"/>
      <w:bookmarkStart w:id="1578" w:name="Tc_f4bpDARM9kqnfhLAbkD7xw_5_0"/>
      <w:bookmarkStart w:id="1579" w:name="Tc_dBYb8goFFkW5C3fBuL_-hQ_4_0"/>
      <w:bookmarkStart w:id="1580" w:name="Tc_h9Np_UvwIEi_67kx_j51gQ_3_4"/>
      <w:bookmarkStart w:id="1581" w:name="Tc_JCaDQxRKIUGJ0sPLrQ-vTA_3_2"/>
      <w:bookmarkStart w:id="1582" w:name="Tc_pPwNyWWmrU68sHFi3LnSfQ_2_4"/>
      <w:bookmarkStart w:id="1583" w:name="Tc_mM2Oy0NZfkK3rzt9AWa11Q_2_2"/>
      <w:bookmarkStart w:id="1584" w:name="Tc_TUKp0zUmmkesf_Vur6JxVg_1_2"/>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b/>
          <w:i/>
          <w:sz w:val="20"/>
        </w:rPr>
        <w:t>(f)Cash and cash equivalents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Cash and cash equivalents comprise cash at bank and on hand, and highly liquid investments. The Group considers highly liquid investments that are readily convertible into known amounts of cash and with a maturity of three months or less when purchased to be cash equivalents. The Group’s cash and cash equivalents are deposited in financial institutions at the following locations:</w:t>
      </w:r>
    </w:p>
    <w:p>
      <w:pPr>
        <w:pStyle w:val="TextBody"/>
        <w:spacing w:before="0" w:after="0"/>
        <w:ind w:left="0" w:right="0" w:hanging="0"/>
        <w:rPr/>
      </w:pPr>
      <w:r>
        <w:rPr/>
        <w:t>​</w:t>
      </w:r>
    </w:p>
    <w:tbl>
      <w:tblPr>
        <w:tblW w:w="8410" w:type="dxa"/>
        <w:jc w:val="left"/>
        <w:tblInd w:w="0" w:type="dxa"/>
        <w:tblCellMar>
          <w:top w:w="0" w:type="dxa"/>
          <w:left w:w="0" w:type="dxa"/>
          <w:bottom w:w="0" w:type="dxa"/>
          <w:right w:w="0" w:type="dxa"/>
        </w:tblCellMar>
      </w:tblPr>
      <w:tblGrid>
        <w:gridCol w:w="5791"/>
        <w:gridCol w:w="326"/>
        <w:gridCol w:w="931"/>
        <w:gridCol w:w="326"/>
        <w:gridCol w:w="1036"/>
      </w:tblGrid>
      <w:tr>
        <w:trPr/>
        <w:tc>
          <w:tcPr>
            <w:tcW w:w="5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677285" cy="175260"/>
                      <wp:effectExtent l="0" t="0" r="0" b="0"/>
                      <wp:wrapNone/>
                      <wp:docPr id="396" name="Frame388"/>
                      <a:graphic xmlns:a="http://schemas.openxmlformats.org/drawingml/2006/main">
                        <a:graphicData uri="http://schemas.microsoft.com/office/word/2010/wordprocessingShape">
                          <wps:wsp>
                            <wps:cNvSpPr txBox="1"/>
                            <wps:spPr>
                              <a:xfrm>
                                <a:off x="0" y="0"/>
                                <a:ext cx="3677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91185" cy="175260"/>
                      <wp:effectExtent l="0" t="0" r="0" b="0"/>
                      <wp:wrapNone/>
                      <wp:docPr id="398" name="Frame39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57860" cy="175260"/>
                      <wp:effectExtent l="0" t="0" r="0" b="0"/>
                      <wp:wrapNone/>
                      <wp:docPr id="400" name="Frame39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79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w:t>
            </w:r>
          </w:p>
        </w:tc>
        <w:tc>
          <w:tcPr>
            <w:tcW w:w="2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579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579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Financial institutions in the mainland PRC</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r>
      <w:tr>
        <w:trPr/>
        <w:tc>
          <w:tcPr>
            <w:tcW w:w="5791" w:type="dxa"/>
            <w:tcBorders/>
            <w:shd w:fill="auto" w:val="clear"/>
            <w:vAlign w:val="center"/>
          </w:tcPr>
          <w:p>
            <w:pPr>
              <w:pStyle w:val="TableContents"/>
              <w:spacing w:before="0" w:after="1"/>
              <w:ind w:left="0" w:right="0" w:hanging="0"/>
              <w:rPr>
                <w:color w:val="231F20"/>
              </w:rPr>
            </w:pPr>
            <w:r>
              <w:rPr>
                <w:color w:val="231F20"/>
              </w:rPr>
              <w:t>—</w:t>
            </w:r>
            <w:r>
              <w:rPr>
                <w:rFonts w:ascii="Times New Roman;Times;serif" w:hAnsi="Times New Roman;Times;serif"/>
                <w:color w:val="231F20"/>
                <w:sz w:val="20"/>
              </w:rPr>
              <w:t>Denominated in RMB</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965,855</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1,290,408</w:t>
            </w:r>
          </w:p>
        </w:tc>
      </w:tr>
      <w:tr>
        <w:trPr/>
        <w:tc>
          <w:tcPr>
            <w:tcW w:w="5791" w:type="dxa"/>
            <w:tcBorders/>
            <w:shd w:fill="CCEEFF" w:val="clear"/>
            <w:vAlign w:val="center"/>
          </w:tcPr>
          <w:p>
            <w:pPr>
              <w:pStyle w:val="TableContents"/>
              <w:spacing w:before="0" w:after="1"/>
              <w:ind w:left="0" w:right="0" w:hanging="0"/>
              <w:rPr>
                <w:color w:val="231F20"/>
              </w:rPr>
            </w:pPr>
            <w:r>
              <w:rPr>
                <w:color w:val="231F20"/>
              </w:rPr>
              <w:t>—</w:t>
            </w:r>
            <w:r>
              <w:rPr>
                <w:rFonts w:ascii="Times New Roman;Times;serif" w:hAnsi="Times New Roman;Times;serif"/>
                <w:color w:val="231F20"/>
                <w:sz w:val="20"/>
              </w:rPr>
              <w:t>Denominated in USD</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3,270</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3,541</w:t>
            </w:r>
          </w:p>
        </w:tc>
      </w:tr>
      <w:tr>
        <w:trPr/>
        <w:tc>
          <w:tcPr>
            <w:tcW w:w="579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Total cash balances held at mainland PRC financial institutions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969,125</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1,293,949</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Hong Kong </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r>
      <w:tr>
        <w:trPr/>
        <w:tc>
          <w:tcPr>
            <w:tcW w:w="5791" w:type="dxa"/>
            <w:tcBorders/>
            <w:shd w:fill="auto" w:val="clear"/>
            <w:vAlign w:val="center"/>
          </w:tcPr>
          <w:p>
            <w:pPr>
              <w:pStyle w:val="TableContents"/>
              <w:spacing w:before="0" w:after="1"/>
              <w:ind w:left="0" w:right="0" w:hanging="0"/>
              <w:rPr>
                <w:color w:val="231F20"/>
              </w:rPr>
            </w:pPr>
            <w:r>
              <w:rPr>
                <w:color w:val="231F20"/>
              </w:rPr>
              <w:t>—</w:t>
            </w:r>
            <w:r>
              <w:rPr>
                <w:rFonts w:ascii="Times New Roman;Times;serif" w:hAnsi="Times New Roman;Times;serif"/>
                <w:color w:val="231F20"/>
                <w:sz w:val="20"/>
              </w:rPr>
              <w:t>Denominated in RMB</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9,859</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9,884</w:t>
            </w:r>
          </w:p>
        </w:tc>
      </w:tr>
      <w:tr>
        <w:trPr/>
        <w:tc>
          <w:tcPr>
            <w:tcW w:w="5791" w:type="dxa"/>
            <w:tcBorders/>
            <w:shd w:fill="CCEEFF" w:val="clear"/>
            <w:vAlign w:val="center"/>
          </w:tcPr>
          <w:p>
            <w:pPr>
              <w:pStyle w:val="TableContents"/>
              <w:spacing w:before="0" w:after="1"/>
              <w:ind w:left="0" w:right="0" w:hanging="0"/>
              <w:rPr>
                <w:color w:val="231F20"/>
              </w:rPr>
            </w:pPr>
            <w:r>
              <w:rPr>
                <w:color w:val="231F20"/>
              </w:rPr>
              <w:t>—</w:t>
            </w:r>
            <w:r>
              <w:rPr>
                <w:rFonts w:ascii="Times New Roman;Times;serif" w:hAnsi="Times New Roman;Times;serif"/>
                <w:color w:val="231F20"/>
                <w:sz w:val="20"/>
              </w:rPr>
              <w:t>Denominated in USD</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5,554</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5,990</w:t>
            </w:r>
          </w:p>
        </w:tc>
      </w:tr>
      <w:tr>
        <w:trPr/>
        <w:tc>
          <w:tcPr>
            <w:tcW w:w="579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Total cash balances held at the Hong Kong financial institutions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15,413</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15,874</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Cayman Islands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r>
      <w:tr>
        <w:trPr/>
        <w:tc>
          <w:tcPr>
            <w:tcW w:w="5791" w:type="dxa"/>
            <w:tcBorders/>
            <w:shd w:fill="auto" w:val="clear"/>
            <w:vAlign w:val="center"/>
          </w:tcPr>
          <w:p>
            <w:pPr>
              <w:pStyle w:val="TableContents"/>
              <w:spacing w:before="0" w:after="1"/>
              <w:ind w:left="0" w:right="0" w:hanging="0"/>
              <w:rPr>
                <w:color w:val="231F20"/>
              </w:rPr>
            </w:pPr>
            <w:r>
              <w:rPr>
                <w:color w:val="231F20"/>
              </w:rPr>
              <w:t>—</w:t>
            </w:r>
            <w:r>
              <w:rPr>
                <w:rFonts w:ascii="Times New Roman;Times;serif" w:hAnsi="Times New Roman;Times;serif"/>
                <w:color w:val="231F20"/>
                <w:sz w:val="20"/>
              </w:rPr>
              <w:t>Denominated in RMB</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5791" w:type="dxa"/>
            <w:tcBorders/>
            <w:shd w:fill="CCEEFF" w:val="clear"/>
            <w:vAlign w:val="center"/>
          </w:tcPr>
          <w:p>
            <w:pPr>
              <w:pStyle w:val="TableContents"/>
              <w:spacing w:before="0" w:after="1"/>
              <w:ind w:left="0" w:right="0" w:hanging="0"/>
              <w:rPr>
                <w:color w:val="231F20"/>
              </w:rPr>
            </w:pPr>
            <w:r>
              <w:rPr>
                <w:color w:val="231F20"/>
              </w:rPr>
              <w:t>—</w:t>
            </w:r>
            <w:r>
              <w:rPr>
                <w:rFonts w:ascii="Times New Roman;Times;serif" w:hAnsi="Times New Roman;Times;serif"/>
                <w:color w:val="231F20"/>
                <w:sz w:val="20"/>
              </w:rPr>
              <w:t>Denominated in USD</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53,773</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279,065</w:t>
            </w:r>
          </w:p>
        </w:tc>
      </w:tr>
      <w:tr>
        <w:trPr/>
        <w:tc>
          <w:tcPr>
            <w:tcW w:w="579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Total cash balances held at the Cayman Islands financial institutions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54,045</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279,338</w:t>
            </w:r>
          </w:p>
        </w:tc>
      </w:tr>
      <w:tr>
        <w:trPr/>
        <w:tc>
          <w:tcPr>
            <w:tcW w:w="579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Total cash and cash equivalents balances held at financial institutions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1,038,583</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1,589,161</w:t>
            </w:r>
          </w:p>
        </w:tc>
      </w:tr>
    </w:tbl>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(g)Restricted cash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Restricted cash mainly consists of security deposits as requested by local government agencies and landlords. Restricted cash is classified as either current or non-current based on when the funds will be released in accordance with the terms of the respective agreement for the establishment.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(h)Short-term investments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Short-term investments include wealth management products with original maturities less than one year when purchased, which are with variable return and principal amounts are not guaranteed. These investments are placed with financial institutions and measured at fair value. The fair value change of the short-term investments were recorded in gain from short-term investments in the consolidated statements of comprehensive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(i)Accounts receivable,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Accounts receivable primarily consists of receivables from franchisees, corporate customers, travel agents, hotel guests and credit card receivables, which are recognized and carried at the original invoice amount less an allowance for doubtful accounts. The Group establishes an allowance for doubtful accounts primarily based on the aging of the receivables and factors surrounding the credit risk of specific franchisees and other customers. Accounts receivable balances are charged off against the allowance after all means of collection have been exhausted and the potential for recovery is considered remote. As of December 31, 2021 and 2022, the Group does not have any off-balance-sheet credit exposure relate to its franchisees and other customers.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(j)Contract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Contract costs are the incremental costs of obtaining a contract with a customer. Incremental costs of obtaining a contract are those costs that the Group incurs to obtain a contract with a customer that it would not have incurred if the contract had not been obtained (e.g. an incremental sales commission). Incremental costs of obtaining a contract are capitalized when incurred if the costs relate to revenue which will be recognized in a future reporting period and the costs are expected to be recovered. Other costs of obtaining a contract are expensed when incurred. Capitalized contract costs are amortized on straight-line basis over the fixed franchise and management agreement term considering the expected beneficial period from the contract cost asset is the fixed contract term. Capitalized contract costs are stated at cost less accumulated amortization and impairment losses.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585" w:name="Tc_GaD4up6J9kSiqK6hnNPT3g_6_0"/>
      <w:bookmarkStart w:id="1586" w:name="Tc_UFueBlOpNUCGpJRs7x0EMA_5_6"/>
      <w:bookmarkStart w:id="1587" w:name="Tc_FX8Cycn-802NZapreefugQ_5_0"/>
      <w:bookmarkStart w:id="1588" w:name="Tc_bsIvwPzvlUWZ92Wc5pbZ6Q_4_0"/>
      <w:bookmarkStart w:id="1589" w:name="Tc_ggP7pUcYvUeOahiiZcfhZg_3_6"/>
      <w:bookmarkStart w:id="1590" w:name="Tc_Wk_3ofOPc0mCaciMcIR0Vw_3_4"/>
      <w:bookmarkStart w:id="1591" w:name="Tc_ugtD6hR7jU6JlH-k1B7NbA_3_2"/>
      <w:bookmarkStart w:id="1592" w:name="Tc_XN09hBeRKUm2mTqTYceAUg_2_6"/>
      <w:bookmarkStart w:id="1593" w:name="Tc_fBvknkyYK0y9s-X5Sv7Wtw_2_4"/>
      <w:bookmarkStart w:id="1594" w:name="Tc_x_3MCYtVkUCKfK8CfcDoRg_2_2"/>
      <w:bookmarkStart w:id="1595" w:name="Tc_ZHvfqvoR-Em0V68KO_g4Lg_1_2"/>
      <w:bookmarkEnd w:id="1585"/>
      <w:bookmarkEnd w:id="1586"/>
      <w:bookmarkEnd w:id="1587"/>
      <w:bookmarkEnd w:id="1588"/>
      <w:bookmarkEnd w:id="1589"/>
      <w:bookmarkEnd w:id="1590"/>
      <w:bookmarkEnd w:id="1591"/>
      <w:bookmarkEnd w:id="1592"/>
      <w:bookmarkEnd w:id="1593"/>
      <w:bookmarkEnd w:id="1594"/>
      <w:bookmarkEnd w:id="1595"/>
      <w:r>
        <w:rPr>
          <w:rFonts w:ascii="Times New Roman;Times;serif" w:hAnsi="Times New Roman;Times;serif"/>
          <w:sz w:val="20"/>
        </w:rPr>
        <w:t>Contract costs capitalized as of December 31, 2021 and 2022 relate to the incremental sales commissions paid to the Group’s sales personnel whose selling activities resulted in customers entering into franchise and management agreements with the Group. Contract costs are recognized as part of selling and marketing expenses in the consolidated statements of comprehensive income in the period in which revenue from the franchise fees is recognized. The amount of capitalized costs recognized in the consolidated statements of comprehensive income for the years ended December 31, 2020, 2021 and 2022 were RMB7,556, RMB7,870 and RMB9,832,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(k)Inventories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Inventories mainly consists of lifestyle products, small appliances and daily consumables, which are stated at the lower of cost and net realizable value. Cost of inventory is determined using the specific identification method.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(l)Property and equipment,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Property and equipment are stated at cost less accumulated depreciation and any impairment. The estimated useful lives are presented below.</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447"/>
        <w:gridCol w:w="326"/>
        <w:gridCol w:w="5240"/>
        <w:gridCol w:w="192"/>
      </w:tblGrid>
      <w:tr>
        <w:trPr/>
        <w:tc>
          <w:tcPr>
            <w:tcW w:w="444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40"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444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    </w:t>
            </w:r>
          </w:p>
        </w:tc>
        <w:tc>
          <w:tcPr>
            <w:tcW w:w="52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Shorter of the lease term and the estimated useful lives of the assets</w:t>
            </w:r>
          </w:p>
        </w:tc>
        <w:tc>
          <w:tcPr>
            <w:tcW w:w="192" w:type="dxa"/>
            <w:tcBorders/>
            <w:shd w:fill="CCEEFF" w:val="clear"/>
            <w:vAlign w:val="center"/>
          </w:tcPr>
          <w:p>
            <w:pPr>
              <w:pStyle w:val="TableContents"/>
              <w:spacing w:before="0" w:after="0"/>
              <w:ind w:left="0" w:right="0" w:hanging="0"/>
              <w:rPr/>
            </w:pPr>
            <w:r>
              <w:rPr/>
              <w:t> </w:t>
            </w:r>
          </w:p>
        </w:tc>
      </w:tr>
      <w:tr>
        <w:trPr/>
        <w:tc>
          <w:tcPr>
            <w:tcW w:w="444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Equipment, fixtures and furniture, and other fixed assets</w:t>
            </w:r>
          </w:p>
        </w:tc>
        <w:tc>
          <w:tcPr>
            <w:tcW w:w="326" w:type="dxa"/>
            <w:tcBorders/>
            <w:shd w:fill="auto" w:val="clear"/>
            <w:vAlign w:val="center"/>
          </w:tcPr>
          <w:p>
            <w:pPr>
              <w:pStyle w:val="TableContents"/>
              <w:spacing w:before="0" w:after="0"/>
              <w:ind w:left="0" w:right="0" w:hanging="0"/>
              <w:rPr/>
            </w:pPr>
            <w:r>
              <w:rPr/>
              <w:t>​</w:t>
            </w:r>
          </w:p>
        </w:tc>
        <w:tc>
          <w:tcPr>
            <w:tcW w:w="52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5 - 10 years</w:t>
            </w:r>
          </w:p>
        </w:tc>
        <w:tc>
          <w:tcPr>
            <w:tcW w:w="19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Depreciation commences when the asset is ready for its intended use. Depreciation on property and equipment is calculated on the straight-line method over the estimated useful lives of the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Expenditures for repairs and maintenance are expensed as incurred. Gains or losses arising from the disposal of an item of property and equipment are determined as the difference between the net disposal proceeds and the carrying amount of the item and are recognized in profit or loss on the date of disposal.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(m)Capitalized interest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costs that are directly attributable to the construction of an asset which necessarily takes a substantial period of time to get ready for its intended use are capitalized as part of the cost of that asset. The capitalization of interest costs as part of the cost of a qualifying asset commences when expenditure for the asset is being incurred, interest costs are being incurred and activities that are necessary to prepare the asset for its intended use are in progress. Capitalization of interest costs is ceased when the asset is substantially complete and ready for its intended use.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reconciliation of total interest costs to interest expenses as reported in the consolidated statements of comprehensive income for the years ended December 31, 2020, 2021 and 2022 is as follows:</w:t>
      </w:r>
    </w:p>
    <w:p>
      <w:pPr>
        <w:pStyle w:val="TextBody"/>
        <w:spacing w:before="0" w:after="0"/>
        <w:ind w:left="0" w:right="0" w:hanging="0"/>
        <w:rPr/>
      </w:pPr>
      <w:r>
        <w:rPr/>
        <w:t>​</w:t>
      </w:r>
    </w:p>
    <w:tbl>
      <w:tblPr>
        <w:tblW w:w="6502" w:type="dxa"/>
        <w:jc w:val="left"/>
        <w:tblInd w:w="0" w:type="dxa"/>
        <w:tblCellMar>
          <w:top w:w="0" w:type="dxa"/>
          <w:left w:w="0" w:type="dxa"/>
          <w:bottom w:w="0" w:type="dxa"/>
          <w:right w:w="0" w:type="dxa"/>
        </w:tblCellMar>
      </w:tblPr>
      <w:tblGrid>
        <w:gridCol w:w="2911"/>
        <w:gridCol w:w="326"/>
        <w:gridCol w:w="856"/>
        <w:gridCol w:w="326"/>
        <w:gridCol w:w="856"/>
        <w:gridCol w:w="326"/>
        <w:gridCol w:w="901"/>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848485" cy="175260"/>
                      <wp:effectExtent l="0" t="0" r="0" b="0"/>
                      <wp:wrapNone/>
                      <wp:docPr id="401" name="Frame393"/>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3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43560" cy="175260"/>
                      <wp:effectExtent l="0" t="0" r="0" b="0"/>
                      <wp:wrapNone/>
                      <wp:docPr id="403" name="Frame395"/>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43560" cy="175260"/>
                      <wp:effectExtent l="0" t="0" r="0" b="0"/>
                      <wp:wrapNone/>
                      <wp:docPr id="405" name="Frame39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3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72135" cy="175260"/>
                      <wp:effectExtent l="0" t="0" r="0" b="0"/>
                      <wp:wrapNone/>
                      <wp:docPr id="407" name="Frame39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29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29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interest expenses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6,130</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9,469</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6,501</w:t>
            </w:r>
          </w:p>
        </w:tc>
      </w:tr>
      <w:tr>
        <w:trPr/>
        <w:tc>
          <w:tcPr>
            <w:tcW w:w="291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Less: interest expenses capitalized</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(4,649)</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(1,532)</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91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Interest expenses.</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1,481</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7,937</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6,501</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1596" w:name="Tc_DktUPVNbWEa7KABXnj7JPw_1_0"/>
      <w:bookmarkEnd w:id="1596"/>
      <w:r>
        <w:rPr>
          <w:rFonts w:ascii="Times New Roman;Times;serif" w:hAnsi="Times New Roman;Times;serif"/>
          <w:b/>
          <w:i/>
          <w:sz w:val="20"/>
        </w:rPr>
        <w:t>(n)Intangible assets,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Intangible assets consist primarily of software.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Amortization of finite-lived intangible assets is computed using the straight-line method over the estimated useful lives. The amortization period is as follows:</w:t>
      </w:r>
    </w:p>
    <w:p>
      <w:pPr>
        <w:pStyle w:val="TextBody"/>
        <w:spacing w:before="0" w:after="0"/>
        <w:ind w:left="0" w:right="0" w:hanging="0"/>
        <w:rPr/>
      </w:pPr>
      <w:r>
        <w:rPr/>
        <w:t>​</w:t>
      </w:r>
    </w:p>
    <w:tbl>
      <w:tblPr>
        <w:tblW w:w="2859" w:type="dxa"/>
        <w:jc w:val="left"/>
        <w:tblInd w:w="0" w:type="dxa"/>
        <w:tblCellMar>
          <w:top w:w="0" w:type="dxa"/>
          <w:left w:w="0" w:type="dxa"/>
          <w:bottom w:w="0" w:type="dxa"/>
          <w:right w:w="0" w:type="dxa"/>
        </w:tblCellMar>
      </w:tblPr>
      <w:tblGrid>
        <w:gridCol w:w="1666"/>
        <w:gridCol w:w="326"/>
        <w:gridCol w:w="676"/>
        <w:gridCol w:w="191"/>
      </w:tblGrid>
      <w:tr>
        <w:trPr/>
        <w:tc>
          <w:tcPr>
            <w:tcW w:w="1666"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6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Purchased software</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 years</w:t>
            </w:r>
          </w:p>
        </w:tc>
        <w:tc>
          <w:tcPr>
            <w:tcW w:w="191"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(o)Leases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adopted ASC 842 on January 1, 2022, using a modified retrospective method for leases that exist at, or are entered into after, January 1, 2022, and has not recast the comparative periods presented in the consolidated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Prior to the adoption of ASC 842, operating leases were not recognized on the balance sheet, but rent expenses with fixed escalating payments and/or rent holidays were recognized on a straight-line basis over the lease term.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Upon the adoption of ASC 842, right-of-use assets and lease liabilities are recognized upon lease commencement for operating leases.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For operating leases, the lease liability is initially measured at the present value of the unpaid lease payments at the lease commencement date. The lease liability is subsequently measured at amortized cost using the effective-interest method. As the rate implicit in the lease cannot be readily determined, the Group uses the incremental borrowing rate at the lease commencement date in determining the imputed interest and present value of lease payments. The incremental borrowing rate is determined using a portfolio approach based on the rate of interest that the Group would have to borrow an amount equal to the lease payments on a collateralized basis over a similar term.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lease term for all of the Group’s leases includes the noncancellable period of the lease plus any additional periods covered by either an option to extend (or not to terminate) the lease that the Group is reasonably certain to exercise, or an option to extend (or not to terminate) the lease controlled by the lessor.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For operating leases, the right-of-use asset is initially measured at cost, which comprises the initial amount of the lease liability adjusted for lease payments made at or before the lease commencement date, plus any initial direct costs incurred less any lease incentives received. The right-of-use asset is subsequently measured throughout the lease term at the carrying amount of the lease liability, plus unamortized initial direct costs, plus (minus) any prepaid (accrued) lease payments, less the unamortized balance of lease incentives received.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Lease expense for lease payments is recognized on a straight-line basis over the lease term. Variable lease payments that do not depend on a rate or index are expensed as incurred.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Right-of-use assets for operating leases are occasionally reduced by impairment losses. See Note 2(p).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Group monitors for events or changes in circumstances that require a reassessment of one of its leases. When a reassessment results in the remeasurement of a lease liability, a corresponding adjustment is made to the carrying amount of the corresponding right-of-use asset unless doing so would reduce the carrying amount of the right-of-use asset to an amount less than zero. In that case, the right-of-use asset is reduced to zero and the remainder of the adjustment is recorded in profit or loss.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Group has elected not to recognize right-of-use assets and lease liabilities for short-term leases that have a lease term of 12 months or less. The Group recognizes the lease payments associated with its short-term leases as an expense on a straight-line basis over the lease term.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Group’s leases generally include non-lease maintenance services (i.e. common area maintenance). The Group has elected the practical expedient to account for the lease and non-lease maintenance components as a single lease component. Therefore, the lease payments used to measure the lease liability include all the fixed consideration in the contract.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and 2022, the Group does not have any material finance leases.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(p)Impairment of long-lived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Long-lived assets, such as property and equipment and operating lease right of use assets, are reviewed for impairment whenever events or changes in circumstances indicate that the carrying amount may not be recoverable. For the purposes of impairment testing of long-lived assets of leased hotel, the Group has concluded that an individual hotel is the lowest level for which identifiable cash flows are largely independent of the cash flows of other assets and liabilities. When there were circumstances that require the long-lived assets of a hotel be tested for possible impairment, the Group first compares undiscounted cash flows generated by the assets to the carrying amount. If the carrying amount of the long-lived assets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No impairment losses were recorded for the years ended December 31, 2020, 2021 and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(q)Business combination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Business combination is recorded using the acquisition method of accounting. The assets acquired, the liabilities assumed, and any non-controlling interests of the acquiree at the acquisition date, if any, are measured at their fair values as of the acquisition date. Goodwill is recognized and measured as the excess of the total consideration transferred plus the fair value of any non-controlling interest of the acquiree and fair value of previously held equity interest in the acquiree, if any, at the acquisition date over the fair values of the identifiable net assets acquired. Consideration transferred in a business acquisition is measured at the fair value as of the date of acquisition.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(r)Goodwill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Goodwill represents the excess purchase price over the estimated fair value of net assets acquired in a business combination.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Goodwill is not amortized but is tested for impairment annually or more frequently if events or changes in circumstances indicate that it might be impaired. Goodwill is tested for impairment at the reporting unit level on an annual basis and between annual tests if an event occurs or circumstances change that would more likely than not reduce the fair value of a reporting unit below its carrying value. These events or circumstances could include a significant change in business climate, legal factors, operating performance indicators, competition, or sale or disposition of a significant portion of a reporting unit. The Group performs its annual impairment review of goodwill at December 31 of each year.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has determined that it has one reporting unit, which is also its only reportable segment. The Group has the option to perform a qualitative assessment to determine whether it is more-likely-than not that the fair value of a reporting unit is less than its carrying value prior to performing the goodwill impairment test. If it is more-likely-than-not that the fair value of a reporting unit is greater than its carrying amount, the goodwill impairment test is not required. If the goodwill impairment test is required, the fair value of the reporting unit is compared with its carrying amount (including goodwill). If the carrying amount of a reporting unit exceeds its fair value, an impairment loss shall be recognized in an amount equal to that excess.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Application of the goodwill impairment test requires judgment, including the determination of the fair value of each reporting unit. Estimating fair value is performed by utilizing various valuation techniques, with a primary technique being a discounted cash flow which requires significant judgments, including estimation of future cash flows, which is dependent on internal forecasts, estimation of the long-term rate of growth for the Group’s business, estimation of the useful life over which cash flows will occur, and determination of the Group’s weighted average cost of capital.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 impairment losses were recorded for goodwill for the years ended December 31, 2020,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1597" w:name="Tc_KKaH6WlU2kyhfCoVPO17Gg_6_0"/>
      <w:bookmarkStart w:id="1598" w:name="Tc_es2GxxDCAk-ix0wwmm0PuQ_5_0"/>
      <w:bookmarkStart w:id="1599" w:name="Tc_0ZVKWZL2vU2beF3wNsVa3g_4_0"/>
      <w:bookmarkStart w:id="1600" w:name="Tc_gwaT9iN6YUiZRIP_uqJsjg_3_4"/>
      <w:bookmarkStart w:id="1601" w:name="Tc_m0MpLJdCOEOtZGQl2H0o7g_3_2"/>
      <w:bookmarkStart w:id="1602" w:name="Tc_LhPJY04-O0y9HsuvpX1Uhg_2_4"/>
      <w:bookmarkStart w:id="1603" w:name="Tc_gOm9ssfyaUq75IrbB3wuKg_2_2"/>
      <w:bookmarkStart w:id="1604" w:name="Tc_4uO_g6spwUequX7chEIkEg_1_2"/>
      <w:bookmarkEnd w:id="1597"/>
      <w:bookmarkEnd w:id="1598"/>
      <w:bookmarkEnd w:id="1599"/>
      <w:bookmarkEnd w:id="1600"/>
      <w:bookmarkEnd w:id="1601"/>
      <w:bookmarkEnd w:id="1602"/>
      <w:bookmarkEnd w:id="1603"/>
      <w:bookmarkEnd w:id="1604"/>
      <w:r>
        <w:rPr>
          <w:rFonts w:ascii="Times New Roman;Times;serif" w:hAnsi="Times New Roman;Times;serif"/>
          <w:b/>
          <w:i/>
          <w:sz w:val="20"/>
        </w:rPr>
        <w:t>(s)Value-added-tax (“VAT”)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Entities that are VAT general taxpayers are permitted to offset qualified input VAT paid to suppliers against their output VAT upon receipt of appropriate supplier VAT invoices on an entity by entity basis. When the output VAT exceeds the input VAT, the difference is remitted to tax authorities, usually on a monthly basis; whereas when the input VAT exceeds the output VAT, the difference is treated as VAT recoverable which can be carried forward indefinitely to offset future net VAT payables. VAT related to purchases and sales which have not been settled at the balance sheet date is disclosed separately as an asset and liability, respectively, in the consolidated balance sheet.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entities engaged in hospitality industry, the input VAT credit is entitled to additional 10% to 15% deduction from April 1, 2019 to December 31, 2022. For the years ended December 31, 2020, 2021 and 2022, the Group recognized RMB5,766, RMB12,864 and RMB12,035 of input VAT additional deduction benefit, respectively, and included in other operating income in the consolidated statements of comprehensive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(t)Asset retirement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Group’s asset retirement obligations are primarily related to its leased hotels, of which the majority are leased under long-term arrangements, and, in certain cases, are required to be returned to the landlords in their original condition. The fair value of a liability for an asset retirement obligation is recognized in the period in which it is incurred. The corresponding asset retirement costs are capitalized as part of the cost of leasehold improvements and are depreciated over the shorter of the asset’s useful life or the term of the lease subsequent to the initial measurement. The Group accretes the liability in relation to the asset retirement obligations over time and the accretion expense is recorded in hotel operating costs in the consolidated statements of comprehensive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Asset retirement obligations are recorded in other non-current liabilities. The following table summarizes the activities of the asset retirement obligation liability:</w:t>
      </w:r>
    </w:p>
    <w:p>
      <w:pPr>
        <w:pStyle w:val="TextBody"/>
        <w:spacing w:before="0" w:after="0"/>
        <w:ind w:left="0" w:right="0" w:hanging="0"/>
        <w:rPr/>
      </w:pPr>
      <w:r>
        <w:rPr/>
        <w:t>​</w:t>
      </w:r>
    </w:p>
    <w:tbl>
      <w:tblPr>
        <w:tblW w:w="5470" w:type="dxa"/>
        <w:jc w:val="left"/>
        <w:tblInd w:w="0" w:type="dxa"/>
        <w:tblCellMar>
          <w:top w:w="0" w:type="dxa"/>
          <w:left w:w="0" w:type="dxa"/>
          <w:bottom w:w="0" w:type="dxa"/>
          <w:right w:w="0" w:type="dxa"/>
        </w:tblCellMar>
      </w:tblPr>
      <w:tblGrid>
        <w:gridCol w:w="3061"/>
        <w:gridCol w:w="326"/>
        <w:gridCol w:w="856"/>
        <w:gridCol w:w="326"/>
        <w:gridCol w:w="901"/>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943735" cy="175260"/>
                      <wp:effectExtent l="0" t="0" r="0" b="0"/>
                      <wp:wrapNone/>
                      <wp:docPr id="408" name="Frame400"/>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43560" cy="175260"/>
                      <wp:effectExtent l="0" t="0" r="0" b="0"/>
                      <wp:wrapNone/>
                      <wp:docPr id="410" name="Frame40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72135" cy="175260"/>
                      <wp:effectExtent l="0" t="0" r="0" b="0"/>
                      <wp:wrapNone/>
                      <wp:docPr id="412" name="Frame40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30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061"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Balance at the beginning of the year</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3,429</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3,597</w:t>
            </w:r>
          </w:p>
        </w:tc>
      </w:tr>
      <w:tr>
        <w:trPr/>
        <w:tc>
          <w:tcPr>
            <w:tcW w:w="3061"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Accretion expense</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3061"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Balance at the end of the year</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3,773</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(u)Revenue recognition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is primarily derived from contracts of manachised hotels with third party franchisees, products and services in leased hotels, as well as sales of lifestyle products via the e-commence platforms and hotel shops.</w:t>
      </w:r>
    </w:p>
    <w:tbl>
      <w:tblPr>
        <w:tblW w:w="2717" w:type="dxa"/>
        <w:jc w:val="left"/>
        <w:tblInd w:w="0" w:type="dxa"/>
        <w:tblCellMar>
          <w:top w:w="0" w:type="dxa"/>
          <w:left w:w="0" w:type="dxa"/>
          <w:bottom w:w="0" w:type="dxa"/>
          <w:right w:w="0" w:type="dxa"/>
        </w:tblCellMar>
      </w:tblPr>
      <w:tblGrid>
        <w:gridCol w:w="346"/>
        <w:gridCol w:w="2371"/>
      </w:tblGrid>
      <w:tr>
        <w:trPr/>
        <w:tc>
          <w:tcPr>
            <w:tcW w:w="346"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(1)</w:t>
            </w:r>
          </w:p>
        </w:tc>
        <w:tc>
          <w:tcPr>
            <w:tcW w:w="237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Manachised hotel revenues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franchise and management agreements primarily contain the following promised goods or services:</w:t>
      </w:r>
    </w:p>
    <w:tbl>
      <w:tblPr>
        <w:tblW w:w="9512" w:type="dxa"/>
        <w:jc w:val="left"/>
        <w:tblInd w:w="0" w:type="dxa"/>
        <w:tblCellMar>
          <w:top w:w="0" w:type="dxa"/>
          <w:left w:w="0" w:type="dxa"/>
          <w:bottom w:w="0" w:type="dxa"/>
          <w:right w:w="0" w:type="dxa"/>
        </w:tblCellMar>
      </w:tblPr>
      <w:tblGrid>
        <w:gridCol w:w="271"/>
        <w:gridCol w:w="9241"/>
      </w:tblGrid>
      <w:tr>
        <w:trPr/>
        <w:tc>
          <w:tcPr>
            <w:tcW w:w="271" w:type="dxa"/>
            <w:tcBorders/>
            <w:shd w:fill="auto" w:val="clear"/>
            <w:vAlign w:val="center"/>
          </w:tcPr>
          <w:p>
            <w:pPr>
              <w:pStyle w:val="TableContents"/>
              <w:spacing w:before="0" w:after="283"/>
              <w:rPr>
                <w:color w:val="231F20"/>
              </w:rPr>
            </w:pPr>
            <w:r>
              <w:rPr>
                <w:color w:val="231F20"/>
              </w:rPr>
              <w:t>●</w:t>
            </w:r>
          </w:p>
        </w:tc>
        <w:tc>
          <w:tcPr>
            <w:tcW w:w="924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Intellectual Property (“IP”) license grants the right to access the Group’s hotel system IP, including brand names.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color w:val="231F20"/>
              </w:rPr>
            </w:pPr>
            <w:r>
              <w:rPr>
                <w:color w:val="231F20"/>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Pre-opening services (e.g. information system installation service, and services related to the assistance on employees training and other hotel opening preparation activities).</w:t>
            </w:r>
          </w:p>
        </w:tc>
      </w:tr>
    </w:tbl>
    <w:tbl>
      <w:tblPr>
        <w:tblW w:w="9467" w:type="dxa"/>
        <w:jc w:val="left"/>
        <w:tblInd w:w="0" w:type="dxa"/>
        <w:tblCellMar>
          <w:top w:w="0" w:type="dxa"/>
          <w:left w:w="0" w:type="dxa"/>
          <w:bottom w:w="0" w:type="dxa"/>
          <w:right w:w="0" w:type="dxa"/>
        </w:tblCellMar>
      </w:tblPr>
      <w:tblGrid>
        <w:gridCol w:w="271"/>
        <w:gridCol w:w="9196"/>
      </w:tblGrid>
      <w:tr>
        <w:trPr/>
        <w:tc>
          <w:tcPr>
            <w:tcW w:w="271" w:type="dxa"/>
            <w:tcBorders/>
            <w:shd w:fill="auto" w:val="clear"/>
            <w:vAlign w:val="center"/>
          </w:tcPr>
          <w:p>
            <w:pPr>
              <w:pStyle w:val="TableContents"/>
              <w:spacing w:before="0" w:after="283"/>
              <w:rPr>
                <w:color w:val="231F20"/>
              </w:rPr>
            </w:pPr>
            <w:r>
              <w:rPr>
                <w:color w:val="231F20"/>
              </w:rPr>
              <w:t>●</w:t>
            </w:r>
          </w:p>
        </w:tc>
        <w:tc>
          <w:tcPr>
            <w:tcW w:w="9196"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Hotel management services include providing day-to-day management services of the hotels for the franchisees.</w:t>
            </w:r>
          </w:p>
        </w:tc>
      </w:tr>
    </w:tbl>
    <w:tbl>
      <w:tblPr>
        <w:tblW w:w="3842" w:type="dxa"/>
        <w:jc w:val="left"/>
        <w:tblInd w:w="0" w:type="dxa"/>
        <w:tblCellMar>
          <w:top w:w="0" w:type="dxa"/>
          <w:left w:w="0" w:type="dxa"/>
          <w:bottom w:w="0" w:type="dxa"/>
          <w:right w:w="0" w:type="dxa"/>
        </w:tblCellMar>
      </w:tblPr>
      <w:tblGrid>
        <w:gridCol w:w="271"/>
        <w:gridCol w:w="3571"/>
      </w:tblGrid>
      <w:tr>
        <w:trPr/>
        <w:tc>
          <w:tcPr>
            <w:tcW w:w="271" w:type="dxa"/>
            <w:tcBorders/>
            <w:shd w:fill="auto" w:val="clear"/>
            <w:vAlign w:val="center"/>
          </w:tcPr>
          <w:p>
            <w:pPr>
              <w:pStyle w:val="TableContents"/>
              <w:spacing w:before="0" w:after="283"/>
              <w:rPr>
                <w:color w:val="231F20"/>
              </w:rPr>
            </w:pPr>
            <w:r>
              <w:rPr>
                <w:color w:val="231F20"/>
              </w:rPr>
              <w:t>●</w:t>
            </w:r>
          </w:p>
        </w:tc>
        <w:tc>
          <w:tcPr>
            <w:tcW w:w="357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of hotel supplies and other products.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promises to provide pre-opening services (e.g. information system installation service, and services related to the assistance on employees training and other hotel opening preparation activities) are not considered distinct performance obligation because they are highly interrelated with the IP license. Therefore, the promises to provide these pre-opening services have been combined with the related IP license as a single performance obligation.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Manachised hotel revenues are derived from franchise and management agreements where the franchisees are primarily required to pay (i) upfront franchise fees, (ii) continuing franchise fees, which primarily consist of on-going franchise and management fees and hotel managers fees; and iii) fees for purchase of hotel supplies and other products.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transaction prices are allocated to the performance obligations based on the estimated standalone selling prices of each components.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Upfront franchise fees are typically fixed and collected upfront and recognized as revenue on straight- line basis over the term of the franchise contract. The Group does not consider that the upfront franchise fees give rise to a significant financing component, since the primary purpose of the upfront franchise fee is to protect the Group from failure by franchisees to comply with the terms in the contract.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On-going franchise and management fees are generally calculated as a certain percentage of the revenues of the manachised hotel, which are due and payable on a monthly basis and revenue is recognized over time as services are rendered. Hotel managers fees are also billed and collected monthly and revenue is recognized over time as services are rendered.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from sales of hotel supplies and other products is recognized at a point of time when the control of the goods is transferred to the customers, generally when the goods are delivered to the customer and the customer has obtained the physical possession and legal title of the goods.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certain cases, the Group also provides hotel renovation services to franchisees to convert their buildings suitable for hotel use. When the renovation revenue can be reasonably measured, such revenue is recognized progressively over time using the output method, based on the surveys of performance by the Group’s experts who review the work performed to date under each contract. When the renovation revenue cannot be reasonably measured, such revenue is recognized only to the extent of contract costs incurred that are expected to be recovered. The hotel renovation service revenue is included in manachised hotels revenues — other transactions with the franchisees in the consolidated statements of comprehensive income.</w:t>
      </w:r>
    </w:p>
    <w:tbl>
      <w:tblPr>
        <w:tblW w:w="2297" w:type="dxa"/>
        <w:jc w:val="left"/>
        <w:tblInd w:w="0" w:type="dxa"/>
        <w:tblCellMar>
          <w:top w:w="0" w:type="dxa"/>
          <w:left w:w="0" w:type="dxa"/>
          <w:bottom w:w="0" w:type="dxa"/>
          <w:right w:w="0" w:type="dxa"/>
        </w:tblCellMar>
      </w:tblPr>
      <w:tblGrid>
        <w:gridCol w:w="346"/>
        <w:gridCol w:w="1951"/>
      </w:tblGrid>
      <w:tr>
        <w:trPr/>
        <w:tc>
          <w:tcPr>
            <w:tcW w:w="346"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(2)</w:t>
            </w:r>
          </w:p>
        </w:tc>
        <w:tc>
          <w:tcPr>
            <w:tcW w:w="195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Leased hotel revenues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Leased hotel revenues are primarily derived from the rental of rooms, food and beverage sales and other ancillary services, including but not limited to laundry, parking and conference reservation. Each of these products and services represents a distinct performance obligation and, in exchange for these products and services, the Group receives fixed amounts based on published or negotiated prices. Payment is due in full at the time when the services are rendered or the goods are provided. Room rental revenue is recognized on a daily basis when rooms are occupied. Food and beverage revenue and other services revenue are recognized when they have been delivered or rendered to the guests as the respective performance obligations are satisfied.</w:t>
      </w:r>
    </w:p>
    <w:tbl>
      <w:tblPr>
        <w:tblW w:w="1757" w:type="dxa"/>
        <w:jc w:val="left"/>
        <w:tblInd w:w="0" w:type="dxa"/>
        <w:tblCellMar>
          <w:top w:w="0" w:type="dxa"/>
          <w:left w:w="0" w:type="dxa"/>
          <w:bottom w:w="0" w:type="dxa"/>
          <w:right w:w="0" w:type="dxa"/>
        </w:tblCellMar>
      </w:tblPr>
      <w:tblGrid>
        <w:gridCol w:w="346"/>
        <w:gridCol w:w="1411"/>
      </w:tblGrid>
      <w:tr>
        <w:trPr/>
        <w:tc>
          <w:tcPr>
            <w:tcW w:w="346"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(3)</w:t>
            </w:r>
          </w:p>
        </w:tc>
        <w:tc>
          <w:tcPr>
            <w:tcW w:w="141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Retail revenues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Revenues from sales from lifestyle products through the e-commence platforms and hotel shops are recognized when the control of the goods is transferred to the customers, generally when the goods are delivered to the customer and the customer has obtained the physical possession and the legal title of the goods.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Customer loyalty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invites its customers to participate in a membership program with different tiers of membership. Members could pay a membership fee for a higher membership tier.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membership program, members earn loyalty points, which generally expire two years after being earned and can be redeemed for future products and services. Points earned by loyalty program members represent a material right to free or discounted goods or services in the future. The Group is responsible for providing or arranging for the provision of those free or discounted goods or services in exchange. The Group is acting as a principal if the members redeem the points for the room nights in leased hotels or other lifestyle products. The Group is acting as an agent if the members redeem the points for room nights in manachised hotels.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points earned in leased hotels, a portion of the leased hotel revenues is deferred until the members redeem points. For points earned in manachised hotels, the Group collected a loyalty program management fee from manachised hotels at a fixed rate per point. Such loyalty program management fee is recognized on a net basis by netting off refunds to manachised hotels when members redeem the points for room nights in manachised hotels, and is included in manachised hotels revenues — other transactions with the franchisees in the consolidated statements of comprehensive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estimates breakage for loyalty points that members will never redeem based on the Group’s historical experience and expectations of future member behavior and re-assess the estimate at the end of each reporting period. The estimated breakage for points earned in manachised hotels are also recognized as manachised hotels revenues — other transactions with the franchisees in the consolidated statements of comprehensive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Membership fee from the Group’s customer loyalty program is recognized on a straight-line basis over the membership period, which is included in other revenues in the consolidated statements of comprehensive income.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(v)Contract assets and deferred revenue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Contract assets primarily represent revenue earned that is not yet billable based on the terms of the contracts. The Group does not have impairment losses on contract assets for the years ended December 31, 2020, 2021 and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Cash proceeds received from customers are recorded as deferred revenue before the Group performs under the contracts.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Contract assets and deferred revenue are reported in a net position on an individual contract basis at the end of each reporting period. Contract assets are classified as current in the consolidated balance sheet when the Group expects to realize within one year from the balance sheet date. Contract liabilities are classified as current in the consolidated balance sheet when the Group expects to settle within one year from the balance sheet 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(w)Government grant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Government subsidies are received from provincial and local governments for operating a business in their jurisdictions and compliance with specific policies promoted by the local governments. Such subsidies allow the Group full discretion to utilize the funds and are used by the Group for general corporate purposes. During the years ended December 31, 2020, 2021 and 2022, the Group received financial subsidies of RMB14,778, RMB9,507 and RMB26,059 from various local PRC government authorities, respectively, which primarily consist of government subsidies for headquarter office and employee benefits. There are no defined rules and regulations to govern the criteria necessary for companies to receive such benefits, and the amount of financial subsidy is determined at the discretion of the relevant government authorities. Such amounts are recorded as other operating income in the consolidated statements of comprehensive income, when received as the amount of the subsidies and the timing of payment are determined solely at the discretion of the relevant government authorities and there is no assurance that the Group will continue to receive any or similar subsidies in the future.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were no significant commitment or contingencies for the government subsidies received for the years ended December 31, 2020, 2021 and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(x)Advertising and promotion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Advertising related expenses, including promotion expenses and production costs of marketing materials, are charged to the consolidated statements of comprehensive income as incurred and amounted to RMB15,469 and RMB64,226 and RMB74,963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(y)Technology and development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Technology and development expenses are expensed as incurred, mainly consist of (i) staff costs incurred for the self-developed hotel operation and reservation systems, (ii) servers and cloud infrastructure costs, (iii) other expenses related to technology and development functions.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(z)Pre-opening expenses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leased hotels, the Group expenses all costs incurred in connection with start-up activities. Pre- opening expenses primarily include rental expenses and staff costs incurred during the hotel pre-opening period.</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(aa) Employee benefits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Company’s PRC subsidiaries make contributions to the government for these benefits based on certain percentages of the employees’ salaries, up to a maximum amount specified by the local government. The Group has no legal obligation for the benefits beyond the contributions made.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Total amounts of such employee benefit expenses, which were expensed as incurred, were approximately RMB50,389 and RMB110,194 and RMB129,254 and for the years ended December 31, 2020, 2021 and 2022. In response to the COVID-19 pandemic, the PRC government has implemented relief policies to exempt or reduce enterprises’ payments of certain social benefits provided to employees during 2020. The amount of exemption and reduction for employee social benefits for the year ended December 31, 2020 was approximately RMB42,680.</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(ab) Income taxes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Income taxes are accounted for under the asset and liability method. Deferred income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if any. Deferred income tax assets and liabilities are measured using enacted tax rates expected to apply to taxable income in the periods in which those temporary differences are expected to be recovered or settled. The effect on deferred income tax assets and liabilities of a change in tax rates or tax laws is recognized in the consolidated statements of comprehensive income in the period the change in tax rates or tax laws is enacted.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reduces the carrying amounts of deferred tax assets by a valuation allowance, if based on the available evidence, it is “more-likely-than-not” that such assets will not be realized. Accordingly, the need to establish valuation allowances for deferred tax assets is assessed at each reporting period based on a “more-likely-than-not” realization threshold. This assessment considers, among other matters, the nature, frequency and severity of current and cumulative losses, forecasts of future profitability, the duration of statutory carryforward periods, and the Group’s experience with operating loss and tax credit carryforwards, if any, not expiring.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recognizes in its financial statements the impact of a tax position if that position is “more 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Changes in recognition or measurement are reflected in the period in which the change in judgment occurs. Interest and penalties recognized related to unrecognized tax benefits are classified as income tax expense in the consolidated statements of comprehensive income.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(ac) Share 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accounts for the compensation cost from share-based payment transactions with employees based on the grant-date fair value of the equity instrument issued.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graded-vesting awards with service conditions only, the grant-date fair value of the award is recognized as compensation expense on a straight-line basis, over the period during which an employee is required to provide service in exchange for the award, which is generally the vesting period. The cumulative amount of compensation cost recognized at any point in time is at least equal the portion of the grant-date fair value of the award that is vested at that date. For graded vesting awards with service conditions and performance conditions, the compensation expense is recognized on a tranche-by-tranche basis when the performance goal becomes probable to achieve.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When no future services are required to be performed by the employee in exchange for an award of equity instruments, and if such award does not contain a performance or market condition, the cost of the award is expensed on the grant date. </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(ad) Statutory reserve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accordance with the Company Laws of the PRC, the PRC Entities registered as PRC domestic companies must make appropriations from its after-tax profit as determined under the PRC GAAP to non- distributable reserve funds including a statutory surplus fund and a discretionary surplus fund. The appropriation to the statutory surplus fund must be at least 10% of the after-tax profits as determined in accordance with the legal requirements in the PRC. Appropriation is not required if the surplus fund has reached 50% of the registered capital of the respective company. Appropriation to the discretionary surplus fund is made at the discretion of the respective company.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use of the statutory reserves are restricted to the off-setting of losses or increasing capital of the respective company. All these reserves are not allowed to be transferred to their investors in terms of cash dividends, loans or advances, nor can they be distributed except under liquidation.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and 2022, the PRC statutory reserve funds amounted to RMB74,552 and RMB83,858, respectively.</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(ae) Segment reporting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uses the management approach in determining its operating segments. 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does not segregate the Company’s business by product or service lines. Management has determined that the Company has one operating segment, which is the Atour Group.</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(af) Contingencies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the normal course of business, the Group is subject to loss contingencies, such as legal proceedings and claims arising out of its business, that cover a wide range of matters, including but not limited to non-compliance respect to licenses and permits, franchise and management agreements and lease contracts, which are handled and defended in the ordinary course of business.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(ag) Fair value measurements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applies ASC 820, Fair Value measurements and Disclosures, for fair value measurements financial assets and financial liabilities and for fair value measurements of non-financial items that are recognized or disclosed at fair value in the financial statements on a recurring and non-recurring basis. ASC 820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 ASC 820 also establishes a framework for measuring fair value and expands disclosures about fair value measurements.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ASC 820 establishes a fair value hierarchy that requires an entity to maximize the use of observable inputs and minimize the use of unobservable inputs when measuring fair value. ASC 820 establishes three levels of inputs that may be used to measure fair value.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Level 1 inputs are quoted prices (unadjusted) in active markets for identical assets or liabilities that the Group has the ability to access at the measurement date.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Level 2 inputs are inputs other than quoted prices included within Level 1 that are observable for the asset or liability, either directly or indirectly.</w:t>
            </w:r>
          </w:p>
        </w:tc>
      </w:tr>
    </w:tbl>
    <w:tbl>
      <w:tblPr>
        <w:tblW w:w="5646" w:type="dxa"/>
        <w:jc w:val="left"/>
        <w:tblInd w:w="0" w:type="dxa"/>
        <w:tblCellMar>
          <w:top w:w="28" w:type="dxa"/>
          <w:left w:w="28" w:type="dxa"/>
          <w:bottom w:w="28" w:type="dxa"/>
          <w:right w:w="28" w:type="dxa"/>
        </w:tblCellMar>
      </w:tblPr>
      <w:tblGrid>
        <w:gridCol w:w="124"/>
        <w:gridCol w:w="256"/>
        <w:gridCol w:w="5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Level 3 inputs are unobservable inputs for the asset or liability.</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Group’s financial instruments include cash and cash equivalent, restricted cash, short-term investments, accounts receivable, prepayments and other current assets, amounts due from related parties, accounts payable, amounts due to related parties, accrued expenses and other payables, short-term borrowings and long-term borrowings. The carrying amounts of these short-term financial instruments approximate their fair value due to their short-term nature. The long-term borrowings approximate their fair values, because the bearing interest rate approximates market interest rate, and market interest rates have not fluctuated significantly since the commencement of loan contracts signed.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classifies its short-term investments within Level 2 in the fair value hierarchy because it uses alternative pricing sources and models utilizing market observable inputs to determine their fair value.</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(ah) Net income (loss) per ordinary share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Basic income (loss) per ordinary share is computed by dividing net income (loss) available to the Company’s ordinary shareholders by the weighted average number of ordinary shares outstanding during the year using the two-class method. Under the two-class method, net income (loss) is allocated between ordinary shares and other participating securities based on participating rights in undistributed earnings. Shares issuable for little to no consideration upon the satisfaction of certain conditions are considered as outstanding shares and included in the computation of basic earnings (loss) per share as of the date that all necessary conditions have been satisfied.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Diluted income (loss) per ordinary share is calculated by dividing net income (loss) available to the Company’s ordinary shareholders as adjusted for the effect of dilutive ordinary share equivalents, if any, by the weighted average number of ordinary and dilutive ordinary share equivalents outstanding during the year. Potential dilutive securities are not included in the calculation of diluted income (loss) per ordinary share if the impact is anti-dilutive.</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(ai) Recently issued accounting pronouncements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June 2016, the FASB issued ASU 2016-13, Financial Instruments — Credit Losses (Topic 326), Measurement of Credit Losses on Financial Instruments. The guidance replaces the incurred loss impairment methodology with an expected credit loss model for which a company recognizes an allowance based on the estimate of expected credit loss. ASU 2016-13 was further amended in November 2019 by ASU 2019-</w:t>
      </w:r>
      <w:r>
        <w:rPr>
          <w:rFonts w:ascii="Times New Roman;Times;serif" w:hAnsi="Times New Roman;Times;serif"/>
          <w:color w:val="231F20"/>
          <w:sz w:val="20"/>
        </w:rPr>
        <w:t>10. The Company will adopt this standard for the year ending December 31, 2023</w:t>
      </w:r>
      <w:r>
        <w:rPr>
          <w:rFonts w:ascii="Times New Roman;Times;serif" w:hAnsi="Times New Roman;Times;serif"/>
          <w:sz w:val="20"/>
        </w:rPr>
        <w:t xml:space="preserve"> </w:t>
      </w:r>
      <w:r>
        <w:rPr>
          <w:rFonts w:ascii="Times New Roman;Times;serif" w:hAnsi="Times New Roman;Times;serif"/>
          <w:color w:val="231F20"/>
          <w:sz w:val="20"/>
        </w:rPr>
        <w:t>and expects the adoption would not have a material impact on its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October 2021, the FASB issued ASU 2021-08 Business Combinations (Topic 805) — Accounting for Contract Assets and Contract Liabilities from Contracts with Customers (“ASU 2021-08”). It requires issuers to apply ASC 606 Revenue from Contracts with Customers to recognize and measure contract assets and contract liabilities from contracts with customers acquired in a business combination. The Company will adopt this standard for the year ending December 31, 2023 and expects the adoption would not have a material impact on its consolidated financial statements.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(aj) Risks and concentration</w:t>
      </w:r>
    </w:p>
    <w:p>
      <w:pPr>
        <w:pStyle w:val="TextBody"/>
        <w:ind w:left="0" w:right="0" w:hanging="0"/>
        <w:rPr>
          <w:rFonts w:ascii="Times New Roman;Times;serif" w:hAnsi="Times New Roman;Times;serif"/>
          <w:color w:val="231F20"/>
          <w:sz w:val="20"/>
        </w:rPr>
      </w:pPr>
      <w:r>
        <w:rPr>
          <w:rFonts w:ascii="Times New Roman;Times;serif" w:hAnsi="Times New Roman;Times;serif"/>
          <w:color w:val="231F20"/>
          <w:sz w:val="20"/>
        </w:rPr>
        <w:t>(1)Foreign exchange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the Group’s principal activities are carried out in the PRC, the Group’s transactions are mainly denominated in RMB, which is not freely convertible into foreign currencies. All foreign exchange transactions involving RMB must take place through the People’s Bank of China or other institutions authorized to buy and sell foreign exchange. The exchange rates adopted for the foreign exchange transactions are the rates of exchange quoted by the People’s Bank of China that are determined largely by supply and demand.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management does not expect that there will be any significant currency risk for the Group during the reporting periods.</w:t>
      </w:r>
    </w:p>
    <w:p>
      <w:pPr>
        <w:pStyle w:val="TextBody"/>
        <w:ind w:left="0" w:right="0" w:hanging="0"/>
        <w:rPr>
          <w:rFonts w:ascii="Times New Roman;Times;serif" w:hAnsi="Times New Roman;Times;serif"/>
          <w:color w:val="231F20"/>
          <w:sz w:val="20"/>
        </w:rPr>
      </w:pPr>
      <w:r>
        <w:rPr>
          <w:rFonts w:ascii="Times New Roman;Times;serif" w:hAnsi="Times New Roman;Times;serif"/>
          <w:color w:val="231F20"/>
          <w:sz w:val="20"/>
        </w:rPr>
        <w:t>(2)Concentration of credit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Group’s credit risk primarily arises from cash and cash equivalents, short-term investments, prepayments and other current assets, accounts receivable and amount due from related parties. The carrying amounts of these financial instruments represent the maximum amount of loss due to credit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expects that there is no significant credit risk associated with the cash and cash equivalents, restricted cash and short-term investments which are held by reputable financial institutions. The Group believes that it is not exposed to unusual risks as these financial institutions have high credit quality.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has no significant concentrations of credit risk with respect to its prepayments and other current assets.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Accounts receivable are unsecured and are primarily derived from revenue earned from manachised hotels. The risk with respect to accounts receivable is mitigated by credit evaluations performed on them.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Amounts due from related parties are unsecured and are derived from the hotel reservation payment collected by the related parties on behalf of the Group. The Group believes that it is not exposed to unusual risks as the related parties are reputable travel agencies.</w:t>
      </w:r>
    </w:p>
    <w:p>
      <w:pPr>
        <w:pStyle w:val="Normal"/>
        <w:spacing w:before="0" w:after="0"/>
        <w:rPr>
          <w:sz w:val="4"/>
          <w:szCs w:val="4"/>
        </w:rPr>
      </w:pPr>
      <w:r>
        <w:rPr>
          <w:sz w:val="4"/>
          <w:szCs w:val="4"/>
        </w:rPr>
      </w:r>
      <w:bookmarkStart w:id="1605" w:name="Tc_UwpRqHvKskWWx2pey2pUEg_13_0"/>
      <w:bookmarkStart w:id="1606" w:name="Tc_8f9eNoc720W80PayC6LXEw_12_0"/>
      <w:bookmarkStart w:id="1607" w:name="Tc_qcjFejcX1U6lFNvkdjRQ5Q_11_0"/>
      <w:bookmarkStart w:id="1608" w:name="Tc_pCO6yrCi_0mulOHNhIMpjA_10_0"/>
      <w:bookmarkStart w:id="1609" w:name="Tc_blSpoRgenUmOZlPDAFau2Q_9_0"/>
      <w:bookmarkStart w:id="1610" w:name="Tc_9eC_xxLaKUCPcPV7AfvE_g_8_0"/>
      <w:bookmarkStart w:id="1611" w:name="Tc_mdx1Gf1quEyLkijyluo6Fg_7_0"/>
      <w:bookmarkStart w:id="1612" w:name="Tc_HmueIymBRESbQl-1rtFUlw_6_0"/>
      <w:bookmarkStart w:id="1613" w:name="Tc_7XO9A0k_qU2zzViFHTNasQ_5_0"/>
      <w:bookmarkStart w:id="1614" w:name="Tc_VjjB0WyxM0qf_wCh63UZeQ_4_0"/>
      <w:bookmarkStart w:id="1615" w:name="Tc_C6lGZQ7030mwFMfwy7Ud9w_3_4"/>
      <w:bookmarkStart w:id="1616" w:name="Tc_Cs04n0MrpE2j4DnNRdjzXw_3_2"/>
      <w:bookmarkStart w:id="1617" w:name="Tc_QyKoDdS_e02Tn6nZpCNCKQ_2_4"/>
      <w:bookmarkStart w:id="1618" w:name="Tc_bIly8x9vc0CA4klp691YAg_2_2"/>
      <w:bookmarkStart w:id="1619" w:name="Tc_kQ0Iq84Fpki7WSSHsFhYmg_1_2"/>
      <w:bookmarkStart w:id="1620" w:name="_d4b9f1a1_1638_4b63_8493_2a540a1e6e9c"/>
      <w:bookmarkStart w:id="1621" w:name="Tc_UwpRqHvKskWWx2pey2pUEg_13_0"/>
      <w:bookmarkStart w:id="1622" w:name="Tc_8f9eNoc720W80PayC6LXEw_12_0"/>
      <w:bookmarkStart w:id="1623" w:name="Tc_qcjFejcX1U6lFNvkdjRQ5Q_11_0"/>
      <w:bookmarkStart w:id="1624" w:name="Tc_pCO6yrCi_0mulOHNhIMpjA_10_0"/>
      <w:bookmarkStart w:id="1625" w:name="Tc_blSpoRgenUmOZlPDAFau2Q_9_0"/>
      <w:bookmarkStart w:id="1626" w:name="Tc_9eC_xxLaKUCPcPV7AfvE_g_8_0"/>
      <w:bookmarkStart w:id="1627" w:name="Tc_mdx1Gf1quEyLkijyluo6Fg_7_0"/>
      <w:bookmarkStart w:id="1628" w:name="Tc_HmueIymBRESbQl-1rtFUlw_6_0"/>
      <w:bookmarkStart w:id="1629" w:name="Tc_7XO9A0k_qU2zzViFHTNasQ_5_0"/>
      <w:bookmarkStart w:id="1630" w:name="Tc_VjjB0WyxM0qf_wCh63UZeQ_4_0"/>
      <w:bookmarkStart w:id="1631" w:name="Tc_C6lGZQ7030mwFMfwy7Ud9w_3_4"/>
      <w:bookmarkStart w:id="1632" w:name="Tc_Cs04n0MrpE2j4DnNRdjzXw_3_2"/>
      <w:bookmarkStart w:id="1633" w:name="Tc_QyKoDdS_e02Tn6nZpCNCKQ_2_4"/>
      <w:bookmarkStart w:id="1634" w:name="Tc_bIly8x9vc0CA4klp691YAg_2_2"/>
      <w:bookmarkStart w:id="1635" w:name="Tc_kQ0Iq84Fpki7WSSHsFhYmg_1_2"/>
      <w:bookmarkStart w:id="1636" w:name="_d4b9f1a1_1638_4b63_8493_2a540a1e6e9c"/>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p>
    <w:tbl>
      <w:tblPr>
        <w:tblW w:w="2912" w:type="dxa"/>
        <w:jc w:val="left"/>
        <w:tblInd w:w="0" w:type="dxa"/>
        <w:tblCellMar>
          <w:top w:w="0" w:type="dxa"/>
          <w:left w:w="0" w:type="dxa"/>
          <w:bottom w:w="0" w:type="dxa"/>
          <w:right w:w="0" w:type="dxa"/>
        </w:tblCellMar>
      </w:tblPr>
      <w:tblGrid>
        <w:gridCol w:w="271"/>
        <w:gridCol w:w="264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3.</w:t>
            </w:r>
          </w:p>
        </w:tc>
        <w:tc>
          <w:tcPr>
            <w:tcW w:w="26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Prepayments and other assets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Prepayments and other current assets consist of the following:</w:t>
      </w:r>
    </w:p>
    <w:p>
      <w:pPr>
        <w:pStyle w:val="TextBody"/>
        <w:spacing w:before="0" w:after="0"/>
        <w:ind w:left="0" w:right="0" w:hanging="0"/>
        <w:rPr/>
      </w:pPr>
      <w:r>
        <w:rPr/>
        <w:t>​</w:t>
      </w:r>
    </w:p>
    <w:tbl>
      <w:tblPr>
        <w:tblW w:w="6310" w:type="dxa"/>
        <w:jc w:val="left"/>
        <w:tblInd w:w="0" w:type="dxa"/>
        <w:tblCellMar>
          <w:top w:w="0" w:type="dxa"/>
          <w:left w:w="0" w:type="dxa"/>
          <w:bottom w:w="0" w:type="dxa"/>
          <w:right w:w="0" w:type="dxa"/>
        </w:tblCellMar>
      </w:tblPr>
      <w:tblGrid>
        <w:gridCol w:w="3901"/>
        <w:gridCol w:w="326"/>
        <w:gridCol w:w="856"/>
        <w:gridCol w:w="326"/>
        <w:gridCol w:w="901"/>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477135" cy="175260"/>
                      <wp:effectExtent l="0" t="0" r="0" b="0"/>
                      <wp:wrapNone/>
                      <wp:docPr id="413" name="Frame405"/>
                      <a:graphic xmlns:a="http://schemas.openxmlformats.org/drawingml/2006/main">
                        <a:graphicData uri="http://schemas.microsoft.com/office/word/2010/wordprocessingShape">
                          <wps:wsp>
                            <wps:cNvSpPr txBox="1"/>
                            <wps:spPr>
                              <a:xfrm>
                                <a:off x="0" y="0"/>
                                <a:ext cx="2477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43560" cy="175260"/>
                      <wp:effectExtent l="0" t="0" r="0" b="0"/>
                      <wp:wrapNone/>
                      <wp:docPr id="415" name="Frame40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72135" cy="175260"/>
                      <wp:effectExtent l="0" t="0" r="0" b="0"/>
                      <wp:wrapNone/>
                      <wp:docPr id="417" name="Frame40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3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9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Prepaid rental and property management fees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12,112</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5,467</w:t>
            </w:r>
          </w:p>
        </w:tc>
      </w:tr>
      <w:tr>
        <w:trPr/>
        <w:tc>
          <w:tcPr>
            <w:tcW w:w="390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Prepayment for purchase of goods and services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12,247</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5,990</w:t>
            </w:r>
          </w:p>
        </w:tc>
      </w:tr>
      <w:tr>
        <w:trPr/>
        <w:tc>
          <w:tcPr>
            <w:tcW w:w="39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VAT recoverable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25,425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23,183</w:t>
            </w:r>
          </w:p>
        </w:tc>
      </w:tr>
      <w:tr>
        <w:trPr/>
        <w:tc>
          <w:tcPr>
            <w:tcW w:w="3901" w:type="dxa"/>
            <w:tcBorders/>
            <w:shd w:fill="auto"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Receivables on behalf of manachised hotels</w:t>
            </w:r>
            <w:r>
              <w:rPr>
                <w:rFonts w:ascii="Times New Roman;Times;serif" w:hAnsi="Times New Roman;Times;serif"/>
                <w:color w:val="231F20"/>
                <w:sz w:val="15"/>
              </w:rPr>
              <w:t>(i)</w:t>
            </w:r>
            <w:r>
              <w:rPr>
                <w:rFonts w:ascii="Times New Roman;Times;serif" w:hAnsi="Times New Roman;Times;serif"/>
                <w:color w:val="231F20"/>
                <w:sz w:val="20"/>
              </w:rPr>
              <w:t xml:space="preserve">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103,495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81,473</w:t>
            </w:r>
          </w:p>
        </w:tc>
      </w:tr>
      <w:tr>
        <w:trPr/>
        <w:tc>
          <w:tcPr>
            <w:tcW w:w="39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Contract assets (Note 13(b))</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7,171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8,741</w:t>
            </w:r>
          </w:p>
        </w:tc>
      </w:tr>
      <w:tr>
        <w:trPr/>
        <w:tc>
          <w:tcPr>
            <w:tcW w:w="390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Deposits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2,904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2,165</w:t>
            </w:r>
          </w:p>
        </w:tc>
      </w:tr>
      <w:tr>
        <w:trPr/>
        <w:tc>
          <w:tcPr>
            <w:tcW w:w="39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Others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6,931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10,006</w:t>
            </w:r>
          </w:p>
        </w:tc>
      </w:tr>
      <w:tr>
        <w:trPr/>
        <w:tc>
          <w:tcPr>
            <w:tcW w:w="390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Subtotal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170,285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137,025</w:t>
            </w:r>
          </w:p>
        </w:tc>
      </w:tr>
      <w:tr>
        <w:trPr/>
        <w:tc>
          <w:tcPr>
            <w:tcW w:w="39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Less: allowance for doubtful accounts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(3,124)</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(3,124)</w:t>
            </w:r>
          </w:p>
        </w:tc>
      </w:tr>
      <w:tr>
        <w:trPr/>
        <w:tc>
          <w:tcPr>
            <w:tcW w:w="390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Total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167,161</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133,901</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637" w:name="Tc_rMjmM3CIRkGxyLaoFu-ZlA_10_0"/>
      <w:bookmarkStart w:id="1638" w:name="Tc_AcmnbuykwEGlXbvSqciLHQ_9_4"/>
      <w:bookmarkStart w:id="1639" w:name="Tc_Twk0ktco_UaqB8Z-PTDX4Q_9_0"/>
      <w:bookmarkStart w:id="1640" w:name="Tc_eV6lXfT_mk-xNheDdGJJ9w_8_4"/>
      <w:bookmarkStart w:id="1641" w:name="Tc_VbhEww7FfEqcN342-MFfyw_8_0"/>
      <w:bookmarkStart w:id="1642" w:name="Tc_wCO7E1LW5k6djgPuBgkPrA_7_0"/>
      <w:bookmarkStart w:id="1643" w:name="Tc_e3j5twwf4EaB8imKYH2w3g_6_0"/>
      <w:bookmarkStart w:id="1644" w:name="Tc_hQRz4w97VkqPacVYUXRoVA_5_0"/>
      <w:bookmarkStart w:id="1645" w:name="Tc_4UMfCP-aTECGp1ecFfLsJA_4_0"/>
      <w:bookmarkStart w:id="1646" w:name="Tc_OEOiOkGyjUC7g_A-HL082Q_3_4"/>
      <w:bookmarkStart w:id="1647" w:name="Tc_zYGWVf0wokayea-bBukdmA_3_2"/>
      <w:bookmarkStart w:id="1648" w:name="Tc_f61Sz1w2IEm7kKtbfCIPRQ_2_4"/>
      <w:bookmarkStart w:id="1649" w:name="Tc_TWe2o2LkxkGiF0cEoq7iUQ_2_2"/>
      <w:bookmarkStart w:id="1650" w:name="Tc_3rk1CpDOiE2mcqKwKf1a4A_1_2"/>
      <w:bookmarkStart w:id="1651" w:name="Tc_zq5UWXSScUiIVrMdqRlBoA_7_0"/>
      <w:bookmarkStart w:id="1652" w:name="Tc_tDQCNkqjvUOPsuc0Z87W1Q_6_4"/>
      <w:bookmarkStart w:id="1653" w:name="Tc_089IMFKuXUKLBVbhsifRCQ_6_0"/>
      <w:bookmarkStart w:id="1654" w:name="Tc_WbBHGp5pH0e7sf6m5kBIZg_5_4"/>
      <w:bookmarkStart w:id="1655" w:name="Tc_R5drHpr5F0OKh9T6B5gj2A_5_0"/>
      <w:bookmarkStart w:id="1656" w:name="Tc_p6YAZDnCyEWmQLkVYZCfkA_4_0"/>
      <w:bookmarkStart w:id="1657" w:name="Tc_6-c8GKAimEOqXi_c5VZVIA_3_4"/>
      <w:bookmarkStart w:id="1658" w:name="Tc_lcIOZXo2RUOxQrvukQKoDQ_3_2"/>
      <w:bookmarkStart w:id="1659" w:name="Tc_WhrLP5R-g0yT1s0LatI4zQ_2_4"/>
      <w:bookmarkStart w:id="1660" w:name="Tc_5jE9iZQlNkeZD0dS_5WFhw_2_2"/>
      <w:bookmarkStart w:id="1661" w:name="Tc_0n6CG7ciSEWi175jqe9GEw_1_2"/>
      <w:bookmarkStart w:id="1662" w:name="_d5a74a1b_4cd4_4453_9759_519b1b4995b2"/>
      <w:bookmarkStart w:id="1663" w:name="Tc_rMjmM3CIRkGxyLaoFu-ZlA_10_0"/>
      <w:bookmarkStart w:id="1664" w:name="Tc_AcmnbuykwEGlXbvSqciLHQ_9_4"/>
      <w:bookmarkStart w:id="1665" w:name="Tc_Twk0ktco_UaqB8Z-PTDX4Q_9_0"/>
      <w:bookmarkStart w:id="1666" w:name="Tc_eV6lXfT_mk-xNheDdGJJ9w_8_4"/>
      <w:bookmarkStart w:id="1667" w:name="Tc_VbhEww7FfEqcN342-MFfyw_8_0"/>
      <w:bookmarkStart w:id="1668" w:name="Tc_wCO7E1LW5k6djgPuBgkPrA_7_0"/>
      <w:bookmarkStart w:id="1669" w:name="Tc_e3j5twwf4EaB8imKYH2w3g_6_0"/>
      <w:bookmarkStart w:id="1670" w:name="Tc_hQRz4w97VkqPacVYUXRoVA_5_0"/>
      <w:bookmarkStart w:id="1671" w:name="Tc_4UMfCP-aTECGp1ecFfLsJA_4_0"/>
      <w:bookmarkStart w:id="1672" w:name="Tc_OEOiOkGyjUC7g_A-HL082Q_3_4"/>
      <w:bookmarkStart w:id="1673" w:name="Tc_zYGWVf0wokayea-bBukdmA_3_2"/>
      <w:bookmarkStart w:id="1674" w:name="Tc_f61Sz1w2IEm7kKtbfCIPRQ_2_4"/>
      <w:bookmarkStart w:id="1675" w:name="Tc_TWe2o2LkxkGiF0cEoq7iUQ_2_2"/>
      <w:bookmarkStart w:id="1676" w:name="Tc_3rk1CpDOiE2mcqKwKf1a4A_1_2"/>
      <w:bookmarkStart w:id="1677" w:name="Tc_zq5UWXSScUiIVrMdqRlBoA_7_0"/>
      <w:bookmarkStart w:id="1678" w:name="Tc_tDQCNkqjvUOPsuc0Z87W1Q_6_4"/>
      <w:bookmarkStart w:id="1679" w:name="Tc_089IMFKuXUKLBVbhsifRCQ_6_0"/>
      <w:bookmarkStart w:id="1680" w:name="Tc_WbBHGp5pH0e7sf6m5kBIZg_5_4"/>
      <w:bookmarkStart w:id="1681" w:name="Tc_R5drHpr5F0OKh9T6B5gj2A_5_0"/>
      <w:bookmarkStart w:id="1682" w:name="Tc_p6YAZDnCyEWmQLkVYZCfkA_4_0"/>
      <w:bookmarkStart w:id="1683" w:name="Tc_6-c8GKAimEOqXi_c5VZVIA_3_4"/>
      <w:bookmarkStart w:id="1684" w:name="Tc_lcIOZXo2RUOxQrvukQKoDQ_3_2"/>
      <w:bookmarkStart w:id="1685" w:name="Tc_WhrLP5R-g0yT1s0LatI4zQ_2_4"/>
      <w:bookmarkStart w:id="1686" w:name="Tc_5jE9iZQlNkeZD0dS_5WFhw_2_2"/>
      <w:bookmarkStart w:id="1687" w:name="Tc_0n6CG7ciSEWi175jqe9GEw_1_2"/>
      <w:bookmarkStart w:id="1688" w:name="_d5a74a1b_4cd4_4453_9759_519b1b4995b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tbl>
      <w:tblPr>
        <w:tblW w:w="8327" w:type="dxa"/>
        <w:jc w:val="left"/>
        <w:tblInd w:w="0" w:type="dxa"/>
        <w:tblCellMar>
          <w:top w:w="0" w:type="dxa"/>
          <w:left w:w="0" w:type="dxa"/>
          <w:bottom w:w="0" w:type="dxa"/>
          <w:right w:w="0" w:type="dxa"/>
        </w:tblCellMar>
      </w:tblPr>
      <w:tblGrid>
        <w:gridCol w:w="286"/>
        <w:gridCol w:w="8041"/>
      </w:tblGrid>
      <w:tr>
        <w:trPr/>
        <w:tc>
          <w:tcPr>
            <w:tcW w:w="286"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(i)</w:t>
            </w:r>
          </w:p>
        </w:tc>
        <w:tc>
          <w:tcPr>
            <w:tcW w:w="8041"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The amount represents fees to be collected from corporate customers and travel agencies on behalf of franchisees.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Changes in the allowance for doubtful accounts are as follows:</w:t>
      </w:r>
    </w:p>
    <w:p>
      <w:pPr>
        <w:pStyle w:val="TextBody"/>
        <w:spacing w:before="0" w:after="0"/>
        <w:ind w:left="0" w:right="0" w:hanging="0"/>
        <w:rPr/>
      </w:pPr>
      <w:r>
        <w:rPr/>
        <w:t>​</w:t>
      </w:r>
    </w:p>
    <w:tbl>
      <w:tblPr>
        <w:tblW w:w="5410" w:type="dxa"/>
        <w:jc w:val="left"/>
        <w:tblInd w:w="0" w:type="dxa"/>
        <w:tblCellMar>
          <w:top w:w="0" w:type="dxa"/>
          <w:left w:w="0" w:type="dxa"/>
          <w:bottom w:w="0" w:type="dxa"/>
          <w:right w:w="0" w:type="dxa"/>
        </w:tblCellMar>
      </w:tblPr>
      <w:tblGrid>
        <w:gridCol w:w="3001"/>
        <w:gridCol w:w="326"/>
        <w:gridCol w:w="856"/>
        <w:gridCol w:w="326"/>
        <w:gridCol w:w="901"/>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905635" cy="175260"/>
                      <wp:effectExtent l="0" t="0" r="0" b="0"/>
                      <wp:wrapNone/>
                      <wp:docPr id="418" name="Frame410"/>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43560" cy="175260"/>
                      <wp:effectExtent l="0" t="0" r="0" b="0"/>
                      <wp:wrapNone/>
                      <wp:docPr id="420" name="Frame41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72135" cy="175260"/>
                      <wp:effectExtent l="0" t="0" r="0" b="0"/>
                      <wp:wrapNone/>
                      <wp:docPr id="422" name="Frame41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0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30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center"/>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top w:val="single" w:sz="2" w:space="0" w:color="000000"/>
            </w:tcBorders>
            <w:shd w:fill="auto" w:val="clear"/>
            <w:tcMar>
              <w:top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top w:val="single" w:sz="2" w:space="0" w:color="000000"/>
            </w:tcBorders>
            <w:shd w:fill="auto" w:val="clear"/>
            <w:tcMar>
              <w:top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0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At the beginning of the year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3,441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3,124</w:t>
            </w:r>
          </w:p>
        </w:tc>
      </w:tr>
      <w:tr>
        <w:trPr/>
        <w:tc>
          <w:tcPr>
            <w:tcW w:w="300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Allowance made during the year</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3,124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300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Allowance write-off during the year</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(3,441)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r>
      <w:tr>
        <w:trPr/>
        <w:tc>
          <w:tcPr>
            <w:tcW w:w="300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At the end of the year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3,124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3,124</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assets consist of the following:</w:t>
      </w:r>
    </w:p>
    <w:p>
      <w:pPr>
        <w:pStyle w:val="TextBody"/>
        <w:spacing w:before="0" w:after="0"/>
        <w:ind w:left="0" w:right="0" w:hanging="0"/>
        <w:rPr/>
      </w:pPr>
      <w:r>
        <w:rPr/>
        <w:t>​</w:t>
      </w:r>
    </w:p>
    <w:tbl>
      <w:tblPr>
        <w:tblW w:w="6850" w:type="dxa"/>
        <w:jc w:val="left"/>
        <w:tblInd w:w="0" w:type="dxa"/>
        <w:tblCellMar>
          <w:top w:w="0" w:type="dxa"/>
          <w:left w:w="0" w:type="dxa"/>
          <w:bottom w:w="0" w:type="dxa"/>
          <w:right w:w="0" w:type="dxa"/>
        </w:tblCellMar>
      </w:tblPr>
      <w:tblGrid>
        <w:gridCol w:w="4441"/>
        <w:gridCol w:w="326"/>
        <w:gridCol w:w="856"/>
        <w:gridCol w:w="326"/>
        <w:gridCol w:w="901"/>
      </w:tblGrid>
      <w:tr>
        <w:trPr/>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820035" cy="175260"/>
                      <wp:effectExtent l="0" t="0" r="0" b="0"/>
                      <wp:wrapNone/>
                      <wp:docPr id="423" name="Frame415"/>
                      <a:graphic xmlns:a="http://schemas.openxmlformats.org/drawingml/2006/main">
                        <a:graphicData uri="http://schemas.microsoft.com/office/word/2010/wordprocessingShape">
                          <wps:wsp>
                            <wps:cNvSpPr txBox="1"/>
                            <wps:spPr>
                              <a:xfrm>
                                <a:off x="0" y="0"/>
                                <a:ext cx="2820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43560" cy="175260"/>
                      <wp:effectExtent l="0" t="0" r="0" b="0"/>
                      <wp:wrapNone/>
                      <wp:docPr id="425" name="Frame41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72135" cy="175260"/>
                      <wp:effectExtent l="0" t="0" r="0" b="0"/>
                      <wp:wrapNone/>
                      <wp:docPr id="427" name="Frame41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4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0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44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444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Long-term rental deposits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75,604</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75,954</w:t>
            </w:r>
          </w:p>
        </w:tc>
      </w:tr>
      <w:tr>
        <w:trPr/>
        <w:tc>
          <w:tcPr>
            <w:tcW w:w="444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Contract assets (Note 13(b))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62,615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58,288</w:t>
            </w:r>
          </w:p>
        </w:tc>
      </w:tr>
      <w:tr>
        <w:trPr/>
        <w:tc>
          <w:tcPr>
            <w:tcW w:w="444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VAT recoverable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8,800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6,744</w:t>
            </w:r>
          </w:p>
        </w:tc>
      </w:tr>
      <w:tr>
        <w:trPr/>
        <w:tc>
          <w:tcPr>
            <w:tcW w:w="444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Prepayments for purchase of property and equipment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349</w:t>
            </w:r>
          </w:p>
        </w:tc>
      </w:tr>
      <w:tr>
        <w:trPr/>
        <w:tc>
          <w:tcPr>
            <w:tcW w:w="444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Deferred rental initial direct costs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11,758</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444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Deferred initial public offering related costs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23,360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r>
      <w:tr>
        <w:trPr/>
        <w:tc>
          <w:tcPr>
            <w:tcW w:w="444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Total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182,581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141,335</w:t>
            </w:r>
          </w:p>
        </w:tc>
      </w:tr>
    </w:tbl>
    <w:p>
      <w:pPr>
        <w:pStyle w:val="TextBody"/>
        <w:spacing w:before="0" w:after="240"/>
        <w:ind w:left="0" w:right="0" w:firstLine="360"/>
        <w:rPr/>
      </w:pPr>
      <w:r>
        <w:rPr/>
        <w:t>​</w:t>
      </w:r>
    </w:p>
    <w:p>
      <w:pPr>
        <w:pStyle w:val="TextBody"/>
        <w:spacing w:before="0" w:after="240"/>
        <w:ind w:left="0" w:right="0" w:hanging="0"/>
        <w:rPr/>
      </w:pPr>
      <w:r>
        <w:rPr/>
        <w:t>​</w:t>
      </w:r>
    </w:p>
    <w:p>
      <w:pPr>
        <w:pStyle w:val="Normal"/>
        <w:spacing w:before="0" w:after="0"/>
        <w:rPr>
          <w:sz w:val="4"/>
          <w:szCs w:val="4"/>
        </w:rPr>
      </w:pPr>
      <w:r>
        <w:rPr>
          <w:sz w:val="4"/>
          <w:szCs w:val="4"/>
        </w:rPr>
      </w:r>
      <w:bookmarkStart w:id="1689" w:name="Tc_XlZVcKUlZESB5Rs0UmYpVw_9_0"/>
      <w:bookmarkStart w:id="1690" w:name="Tc_7fAAkp1KTEmxc8TElFHO5g_8_0"/>
      <w:bookmarkStart w:id="1691" w:name="Tc_Idoja93D7kmgw-V3UF1FRg_7_0"/>
      <w:bookmarkStart w:id="1692" w:name="Tc_m8eg4RtEFEq_t56mbu2klA_6_0"/>
      <w:bookmarkStart w:id="1693" w:name="Tc_OMpj2OQra0GScI6CuUnRUA_5_0"/>
      <w:bookmarkStart w:id="1694" w:name="Tc_Fy8rtWJY30myL-gEKO7nMg_4_0"/>
      <w:bookmarkStart w:id="1695" w:name="Tc_xZisli0o5UGO31b36HHxBg_3_4"/>
      <w:bookmarkStart w:id="1696" w:name="Tc_BIuvzKwjRUW4ORyq5qhLPw_3_2"/>
      <w:bookmarkStart w:id="1697" w:name="Tc_LN1xXuiGBUixDz9YcYNlkQ_2_4"/>
      <w:bookmarkStart w:id="1698" w:name="Tc_Xlz4aOBzLEWLq4vA7CbBFQ_2_2"/>
      <w:bookmarkStart w:id="1699" w:name="Tc__-Vy0f1RXEGWrSKm60tF8g_1_2"/>
      <w:bookmarkStart w:id="1700" w:name="Tc_XlZVcKUlZESB5Rs0UmYpVw_9_0"/>
      <w:bookmarkStart w:id="1701" w:name="Tc_7fAAkp1KTEmxc8TElFHO5g_8_0"/>
      <w:bookmarkStart w:id="1702" w:name="Tc_Idoja93D7kmgw-V3UF1FRg_7_0"/>
      <w:bookmarkStart w:id="1703" w:name="Tc_m8eg4RtEFEq_t56mbu2klA_6_0"/>
      <w:bookmarkStart w:id="1704" w:name="Tc_OMpj2OQra0GScI6CuUnRUA_5_0"/>
      <w:bookmarkStart w:id="1705" w:name="Tc_Fy8rtWJY30myL-gEKO7nMg_4_0"/>
      <w:bookmarkStart w:id="1706" w:name="Tc_xZisli0o5UGO31b36HHxBg_3_4"/>
      <w:bookmarkStart w:id="1707" w:name="Tc_BIuvzKwjRUW4ORyq5qhLPw_3_2"/>
      <w:bookmarkStart w:id="1708" w:name="Tc_LN1xXuiGBUixDz9YcYNlkQ_2_4"/>
      <w:bookmarkStart w:id="1709" w:name="Tc_Xlz4aOBzLEWLq4vA7CbBFQ_2_2"/>
      <w:bookmarkStart w:id="1710" w:name="Tc__-Vy0f1RXEGWrSKm60tF8g_1_2"/>
      <w:bookmarkEnd w:id="1700"/>
      <w:bookmarkEnd w:id="1701"/>
      <w:bookmarkEnd w:id="1702"/>
      <w:bookmarkEnd w:id="1703"/>
      <w:bookmarkEnd w:id="1704"/>
      <w:bookmarkEnd w:id="1705"/>
      <w:bookmarkEnd w:id="1706"/>
      <w:bookmarkEnd w:id="1707"/>
      <w:bookmarkEnd w:id="1708"/>
      <w:bookmarkEnd w:id="1709"/>
      <w:bookmarkEnd w:id="1710"/>
    </w:p>
    <w:tbl>
      <w:tblPr>
        <w:tblW w:w="2822" w:type="dxa"/>
        <w:jc w:val="left"/>
        <w:tblInd w:w="0" w:type="dxa"/>
        <w:tblCellMar>
          <w:top w:w="0" w:type="dxa"/>
          <w:left w:w="0" w:type="dxa"/>
          <w:bottom w:w="0" w:type="dxa"/>
          <w:right w:w="0" w:type="dxa"/>
        </w:tblCellMar>
      </w:tblPr>
      <w:tblGrid>
        <w:gridCol w:w="271"/>
        <w:gridCol w:w="255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4.</w:t>
            </w:r>
          </w:p>
        </w:tc>
        <w:tc>
          <w:tcPr>
            <w:tcW w:w="255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spacing w:before="0" w:after="0"/>
        <w:ind w:left="0" w:right="0" w:hanging="0"/>
        <w:rPr/>
      </w:pPr>
      <w:r>
        <w:rPr/>
        <w:t>​</w:t>
      </w:r>
    </w:p>
    <w:tbl>
      <w:tblPr>
        <w:tblW w:w="7120" w:type="dxa"/>
        <w:jc w:val="left"/>
        <w:tblInd w:w="0" w:type="dxa"/>
        <w:tblCellMar>
          <w:top w:w="0" w:type="dxa"/>
          <w:left w:w="0" w:type="dxa"/>
          <w:bottom w:w="0" w:type="dxa"/>
          <w:right w:w="0" w:type="dxa"/>
        </w:tblCellMar>
      </w:tblPr>
      <w:tblGrid>
        <w:gridCol w:w="4621"/>
        <w:gridCol w:w="326"/>
        <w:gridCol w:w="901"/>
        <w:gridCol w:w="326"/>
        <w:gridCol w:w="946"/>
      </w:tblGrid>
      <w:tr>
        <w:trPr/>
        <w:tc>
          <w:tcPr>
            <w:tcW w:w="4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934335" cy="175260"/>
                      <wp:effectExtent l="0" t="0" r="0" b="0"/>
                      <wp:wrapNone/>
                      <wp:docPr id="428" name="Frame420"/>
                      <a:graphic xmlns:a="http://schemas.openxmlformats.org/drawingml/2006/main">
                        <a:graphicData uri="http://schemas.microsoft.com/office/word/2010/wordprocessingShape">
                          <wps:wsp>
                            <wps:cNvSpPr txBox="1"/>
                            <wps:spPr>
                              <a:xfrm>
                                <a:off x="0" y="0"/>
                                <a:ext cx="2934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72135" cy="175260"/>
                      <wp:effectExtent l="0" t="0" r="0" b="0"/>
                      <wp:wrapNone/>
                      <wp:docPr id="430" name="Frame42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00710" cy="175260"/>
                      <wp:effectExtent l="0" t="0" r="0" b="0"/>
                      <wp:wrapNone/>
                      <wp:docPr id="432" name="Frame42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6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1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46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6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462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Cost:</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  </w:t>
            </w:r>
          </w:p>
        </w:tc>
      </w:tr>
      <w:tr>
        <w:trPr/>
        <w:tc>
          <w:tcPr>
            <w:tcW w:w="462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Leasehold improvements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452,030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443,695</w:t>
            </w:r>
          </w:p>
        </w:tc>
      </w:tr>
      <w:tr>
        <w:trPr/>
        <w:tc>
          <w:tcPr>
            <w:tcW w:w="462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Equipment, fixture and furniture, and other fixed assets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407,259</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420,004</w:t>
            </w:r>
          </w:p>
        </w:tc>
      </w:tr>
      <w:tr>
        <w:trPr/>
        <w:tc>
          <w:tcPr>
            <w:tcW w:w="462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Total cost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859,289</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863,699</w:t>
            </w:r>
          </w:p>
        </w:tc>
      </w:tr>
      <w:tr>
        <w:trPr/>
        <w:tc>
          <w:tcPr>
            <w:tcW w:w="462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Less: accumulated depreciation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(420,274)</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(503,399)</w:t>
            </w:r>
          </w:p>
        </w:tc>
      </w:tr>
      <w:tr>
        <w:trPr/>
        <w:tc>
          <w:tcPr>
            <w:tcW w:w="462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Property and equipment, net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439,015</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4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360,300</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Depreciation expense recognized for the years ended December 31, 2020, 2021 and 2022 was RMB84,003, RMB92,609 and RMB87,473 respectively.</w:t>
      </w:r>
    </w:p>
    <w:p>
      <w:pPr>
        <w:pStyle w:val="Normal"/>
        <w:spacing w:before="0" w:after="0"/>
        <w:rPr>
          <w:sz w:val="4"/>
          <w:szCs w:val="4"/>
        </w:rPr>
      </w:pPr>
      <w:r>
        <w:rPr>
          <w:sz w:val="4"/>
          <w:szCs w:val="4"/>
        </w:rPr>
      </w:r>
      <w:bookmarkStart w:id="1711" w:name="Tc_vkuBnqE830y37TzcZxovBg_7_0"/>
      <w:bookmarkStart w:id="1712" w:name="Tc_L69RrWfLYUGlDtVgHmoV2Q_6_0"/>
      <w:bookmarkStart w:id="1713" w:name="Tc_3MzxNZU7_EGwHsC71B2OUQ_5_0"/>
      <w:bookmarkStart w:id="1714" w:name="Tc_HETVK2kYC0--4z1Kp6sN3w_4_0"/>
      <w:bookmarkStart w:id="1715" w:name="Tc_vJFjg7Siwk29d9_4RX2v-g_3_4"/>
      <w:bookmarkStart w:id="1716" w:name="Tc_u8zwLVAK90yF3ZDiaEbU1w_3_2"/>
      <w:bookmarkStart w:id="1717" w:name="Tc_xCby5yiqIUWRpE0ovdz82A_2_4"/>
      <w:bookmarkStart w:id="1718" w:name="Tc_RvNHITORg0CEvYtDJP0Y7A_2_2"/>
      <w:bookmarkStart w:id="1719" w:name="Tc_PyCbuts_z0yv2O6CiilHEg_1_2"/>
      <w:bookmarkStart w:id="1720" w:name="Tc_vkuBnqE830y37TzcZxovBg_7_0"/>
      <w:bookmarkStart w:id="1721" w:name="Tc_L69RrWfLYUGlDtVgHmoV2Q_6_0"/>
      <w:bookmarkStart w:id="1722" w:name="Tc_3MzxNZU7_EGwHsC71B2OUQ_5_0"/>
      <w:bookmarkStart w:id="1723" w:name="Tc_HETVK2kYC0--4z1Kp6sN3w_4_0"/>
      <w:bookmarkStart w:id="1724" w:name="Tc_vJFjg7Siwk29d9_4RX2v-g_3_4"/>
      <w:bookmarkStart w:id="1725" w:name="Tc_u8zwLVAK90yF3ZDiaEbU1w_3_2"/>
      <w:bookmarkStart w:id="1726" w:name="Tc_xCby5yiqIUWRpE0ovdz82A_2_4"/>
      <w:bookmarkStart w:id="1727" w:name="Tc_RvNHITORg0CEvYtDJP0Y7A_2_2"/>
      <w:bookmarkStart w:id="1728" w:name="Tc_PyCbuts_z0yv2O6CiilHEg_1_2"/>
      <w:bookmarkEnd w:id="1720"/>
      <w:bookmarkEnd w:id="1721"/>
      <w:bookmarkEnd w:id="1722"/>
      <w:bookmarkEnd w:id="1723"/>
      <w:bookmarkEnd w:id="1724"/>
      <w:bookmarkEnd w:id="1725"/>
      <w:bookmarkEnd w:id="1726"/>
      <w:bookmarkEnd w:id="1727"/>
      <w:bookmarkEnd w:id="1728"/>
    </w:p>
    <w:tbl>
      <w:tblPr>
        <w:tblW w:w="2162" w:type="dxa"/>
        <w:jc w:val="left"/>
        <w:tblInd w:w="0" w:type="dxa"/>
        <w:tblCellMar>
          <w:top w:w="0" w:type="dxa"/>
          <w:left w:w="0" w:type="dxa"/>
          <w:bottom w:w="0" w:type="dxa"/>
          <w:right w:w="0" w:type="dxa"/>
        </w:tblCellMar>
      </w:tblPr>
      <w:tblGrid>
        <w:gridCol w:w="271"/>
        <w:gridCol w:w="189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5.</w:t>
            </w:r>
          </w:p>
        </w:tc>
        <w:tc>
          <w:tcPr>
            <w:tcW w:w="189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Intangible assets, net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Intangible assets, net, consist of the following:</w:t>
      </w:r>
    </w:p>
    <w:p>
      <w:pPr>
        <w:pStyle w:val="TextBody"/>
        <w:spacing w:before="0" w:after="0"/>
        <w:ind w:left="0" w:right="0" w:hanging="0"/>
        <w:rPr/>
      </w:pPr>
      <w:r>
        <w:rPr/>
        <w:t>​</w:t>
      </w:r>
    </w:p>
    <w:tbl>
      <w:tblPr>
        <w:tblW w:w="5155" w:type="dxa"/>
        <w:jc w:val="left"/>
        <w:tblInd w:w="0" w:type="dxa"/>
        <w:tblCellMar>
          <w:top w:w="0" w:type="dxa"/>
          <w:left w:w="0" w:type="dxa"/>
          <w:bottom w:w="0" w:type="dxa"/>
          <w:right w:w="0" w:type="dxa"/>
        </w:tblCellMar>
      </w:tblPr>
      <w:tblGrid>
        <w:gridCol w:w="2746"/>
        <w:gridCol w:w="326"/>
        <w:gridCol w:w="856"/>
        <w:gridCol w:w="326"/>
        <w:gridCol w:w="901"/>
      </w:tblGrid>
      <w:tr>
        <w:trPr/>
        <w:tc>
          <w:tcPr>
            <w:tcW w:w="2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743710" cy="175260"/>
                      <wp:effectExtent l="0" t="0" r="0" b="0"/>
                      <wp:wrapNone/>
                      <wp:docPr id="433" name="Frame425"/>
                      <a:graphic xmlns:a="http://schemas.openxmlformats.org/drawingml/2006/main">
                        <a:graphicData uri="http://schemas.microsoft.com/office/word/2010/wordprocessingShape">
                          <wps:wsp>
                            <wps:cNvSpPr txBox="1"/>
                            <wps:spPr>
                              <a:xfrm>
                                <a:off x="0" y="0"/>
                                <a:ext cx="1743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43560" cy="175260"/>
                      <wp:effectExtent l="0" t="0" r="0" b="0"/>
                      <wp:wrapNone/>
                      <wp:docPr id="435" name="Frame42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72135" cy="175260"/>
                      <wp:effectExtent l="0" t="0" r="0" b="0"/>
                      <wp:wrapNone/>
                      <wp:docPr id="437" name="Frame42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0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27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274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Purchased software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8,250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11,055</w:t>
            </w:r>
          </w:p>
        </w:tc>
      </w:tr>
      <w:tr>
        <w:trPr/>
        <w:tc>
          <w:tcPr>
            <w:tcW w:w="274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Total cost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8,250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11,055</w:t>
            </w:r>
          </w:p>
        </w:tc>
      </w:tr>
      <w:tr>
        <w:trPr/>
        <w:tc>
          <w:tcPr>
            <w:tcW w:w="2746"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Less: accumulated amortization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(4,430)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(5,518)</w:t>
            </w:r>
          </w:p>
        </w:tc>
      </w:tr>
      <w:tr>
        <w:trPr/>
        <w:tc>
          <w:tcPr>
            <w:tcW w:w="2746"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Intangible assets, net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3,820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5,537</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729" w:name="Tc_bxo30cFG_0i5wSpDLJRJjA_8_0"/>
      <w:bookmarkStart w:id="1730" w:name="Tc_fa9MxjOU30Oek2HhoRIHnw_7_0"/>
      <w:bookmarkStart w:id="1731" w:name="Tc_7hsLUI8GnEGsCzT3gnIXUA_6_0"/>
      <w:bookmarkStart w:id="1732" w:name="Tc_gNw-wnKL_Eu-mjh9w7AZFw_5_0"/>
      <w:bookmarkStart w:id="1733" w:name="Tc_V5mfYzLoOUqdTNYnMWU_Zw_4_0"/>
      <w:bookmarkStart w:id="1734" w:name="Tc_3JS1tPbz_0aGzpReEd8IgQ_3_0"/>
      <w:bookmarkStart w:id="1735" w:name="Tc_aPfaGs1C1ES3akvWiGMR_A_2_0"/>
      <w:bookmarkStart w:id="1736" w:name="Tc_mGBfaAVvmUqmvERkSIop2Q_1_2"/>
      <w:bookmarkEnd w:id="1729"/>
      <w:bookmarkEnd w:id="1730"/>
      <w:bookmarkEnd w:id="1731"/>
      <w:bookmarkEnd w:id="1732"/>
      <w:bookmarkEnd w:id="1733"/>
      <w:bookmarkEnd w:id="1734"/>
      <w:bookmarkEnd w:id="1735"/>
      <w:bookmarkEnd w:id="1736"/>
      <w:r>
        <w:rPr>
          <w:rFonts w:ascii="Times New Roman;Times;serif" w:hAnsi="Times New Roman;Times;serif"/>
          <w:sz w:val="20"/>
        </w:rPr>
        <w:t>Amortization expense recognized for the years ended December 31, 2020, 2021 and 2022 was RMB952, RMB1,302 and RMB1,088 respectively.</w:t>
      </w:r>
    </w:p>
    <w:p>
      <w:pPr>
        <w:pStyle w:val="TextBody"/>
        <w:spacing w:before="0" w:after="240"/>
        <w:ind w:left="0" w:right="0" w:firstLine="360"/>
        <w:rPr>
          <w:rFonts w:ascii="Times New Roman;Times;serif" w:hAnsi="Times New Roman;Times;serif"/>
          <w:color w:val="231F20"/>
          <w:sz w:val="20"/>
        </w:rPr>
      </w:pPr>
      <w:r>
        <w:rPr>
          <w:rFonts w:ascii="Times New Roman;Times;serif" w:hAnsi="Times New Roman;Times;serif"/>
          <w:color w:val="231F20"/>
          <w:sz w:val="20"/>
        </w:rPr>
        <w:t>Estimated amortization expense of the existing intangible assets is as follows:</w:t>
      </w:r>
    </w:p>
    <w:p>
      <w:pPr>
        <w:pStyle w:val="TextBody"/>
        <w:spacing w:before="0" w:after="0"/>
        <w:ind w:left="0" w:right="0" w:hanging="0"/>
        <w:rPr/>
      </w:pPr>
      <w:r>
        <w:rPr/>
        <w:t>​</w:t>
      </w:r>
    </w:p>
    <w:tbl>
      <w:tblPr>
        <w:tblW w:w="4033" w:type="dxa"/>
        <w:jc w:val="left"/>
        <w:tblInd w:w="0" w:type="dxa"/>
        <w:tblCellMar>
          <w:top w:w="0" w:type="dxa"/>
          <w:left w:w="0" w:type="dxa"/>
          <w:bottom w:w="0" w:type="dxa"/>
          <w:right w:w="0" w:type="dxa"/>
        </w:tblCellMar>
      </w:tblPr>
      <w:tblGrid>
        <w:gridCol w:w="2851"/>
        <w:gridCol w:w="326"/>
        <w:gridCol w:w="856"/>
      </w:tblGrid>
      <w:tr>
        <w:trPr/>
        <w:tc>
          <w:tcPr>
            <w:tcW w:w="2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810385" cy="175260"/>
                      <wp:effectExtent l="0" t="0" r="0" b="0"/>
                      <wp:wrapNone/>
                      <wp:docPr id="438" name="Frame430"/>
                      <a:graphic xmlns:a="http://schemas.openxmlformats.org/drawingml/2006/main">
                        <a:graphicData uri="http://schemas.microsoft.com/office/word/2010/wordprocessingShape">
                          <wps:wsp>
                            <wps:cNvSpPr txBox="1"/>
                            <wps:spPr>
                              <a:xfrm>
                                <a:off x="0" y="0"/>
                                <a:ext cx="181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43560" cy="175260"/>
                      <wp:effectExtent l="0" t="0" r="0" b="0"/>
                      <wp:wrapNone/>
                      <wp:docPr id="440" name="Frame43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8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 the year ending December 31,</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pPr>
            <w:r>
              <w:rPr/>
              <w:t>    </w:t>
            </w:r>
          </w:p>
        </w:tc>
      </w:tr>
      <w:tr>
        <w:trPr/>
        <w:tc>
          <w:tcPr>
            <w:tcW w:w="28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r>
      <w:tr>
        <w:trPr/>
        <w:tc>
          <w:tcPr>
            <w:tcW w:w="28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28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1,173</w:t>
            </w:r>
          </w:p>
        </w:tc>
      </w:tr>
      <w:tr>
        <w:trPr/>
        <w:tc>
          <w:tcPr>
            <w:tcW w:w="28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28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28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5,537</w:t>
            </w:r>
          </w:p>
        </w:tc>
      </w:tr>
    </w:tbl>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737" w:name="Tc_UVixyFJ8eU-tYffOMTaGCA_11_0"/>
      <w:bookmarkStart w:id="1738" w:name="Tc_4EkVafm-MkKfwtvfeQyy-A_10_0"/>
      <w:bookmarkStart w:id="1739" w:name="Tc_1Nt-0clkyUycG6vFvsPrsw_9_0"/>
      <w:bookmarkStart w:id="1740" w:name="Tc_oJvayko4RkeSfSVA_xkC2A_8_0"/>
      <w:bookmarkStart w:id="1741" w:name="Tc_x7BwbCJw6EanznTMT0N8KA_7_0"/>
      <w:bookmarkStart w:id="1742" w:name="Tc_SiObJdPf40u98kApGJYQQw_6_0"/>
      <w:bookmarkStart w:id="1743" w:name="Tc_tzJYeyCYNEO-OVmt1DERdQ_5_0"/>
      <w:bookmarkStart w:id="1744" w:name="Tc_ffV1iWCexkCAhG8wFD4g9A_4_0"/>
      <w:bookmarkStart w:id="1745" w:name="Tc_6cBnfRq_QUyun2IWvBb_JA_3_2"/>
      <w:bookmarkStart w:id="1746" w:name="Tc_TQUBAJVdKkS07uiMp2NutQ_2_2"/>
      <w:bookmarkStart w:id="1747" w:name="Tc_BHr3_ZhyGk2nf44B7sZ9gw_1_2"/>
      <w:bookmarkStart w:id="1748" w:name="Tc_UVixyFJ8eU-tYffOMTaGCA_11_0"/>
      <w:bookmarkStart w:id="1749" w:name="Tc_4EkVafm-MkKfwtvfeQyy-A_10_0"/>
      <w:bookmarkStart w:id="1750" w:name="Tc_1Nt-0clkyUycG6vFvsPrsw_9_0"/>
      <w:bookmarkStart w:id="1751" w:name="Tc_oJvayko4RkeSfSVA_xkC2A_8_0"/>
      <w:bookmarkStart w:id="1752" w:name="Tc_x7BwbCJw6EanznTMT0N8KA_7_0"/>
      <w:bookmarkStart w:id="1753" w:name="Tc_SiObJdPf40u98kApGJYQQw_6_0"/>
      <w:bookmarkStart w:id="1754" w:name="Tc_tzJYeyCYNEO-OVmt1DERdQ_5_0"/>
      <w:bookmarkStart w:id="1755" w:name="Tc_ffV1iWCexkCAhG8wFD4g9A_4_0"/>
      <w:bookmarkStart w:id="1756" w:name="Tc_6cBnfRq_QUyun2IWvBb_JA_3_2"/>
      <w:bookmarkStart w:id="1757" w:name="Tc_TQUBAJVdKkS07uiMp2NutQ_2_2"/>
      <w:bookmarkStart w:id="1758" w:name="Tc_BHr3_ZhyGk2nf44B7sZ9gw_1_2"/>
      <w:bookmarkEnd w:id="1748"/>
      <w:bookmarkEnd w:id="1749"/>
      <w:bookmarkEnd w:id="1750"/>
      <w:bookmarkEnd w:id="1751"/>
      <w:bookmarkEnd w:id="1752"/>
      <w:bookmarkEnd w:id="1753"/>
      <w:bookmarkEnd w:id="1754"/>
      <w:bookmarkEnd w:id="1755"/>
      <w:bookmarkEnd w:id="1756"/>
      <w:bookmarkEnd w:id="1757"/>
      <w:bookmarkEnd w:id="1758"/>
    </w:p>
    <w:tbl>
      <w:tblPr>
        <w:tblW w:w="917" w:type="dxa"/>
        <w:jc w:val="left"/>
        <w:tblInd w:w="0" w:type="dxa"/>
        <w:tblCellMar>
          <w:top w:w="0" w:type="dxa"/>
          <w:left w:w="0" w:type="dxa"/>
          <w:bottom w:w="0" w:type="dxa"/>
          <w:right w:w="0" w:type="dxa"/>
        </w:tblCellMar>
      </w:tblPr>
      <w:tblGrid>
        <w:gridCol w:w="271"/>
        <w:gridCol w:w="64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6.</w:t>
            </w:r>
          </w:p>
        </w:tc>
        <w:tc>
          <w:tcPr>
            <w:tcW w:w="64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Lease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the Group operated 33 leased hotels, leasing the underlying buildings. The Group generally enters into lease agreements with initial terms of 5 to 15 years. Some of the lease agreements contain renewal options. Such options are accounted for only when it is reasonably certain that the Group will exercise the options. The rent under current hotel lease agreements is generally payable in fixed rent. In addition to hotels leases, the Group also leases office spaces and logistics centers. The lease agreements do not contain any material residual value guarantees or material restrictive covenants.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Prior to the adoption of ASC 842 on January 1, 2022, operating leases were not recognized on the balance sheet of the Group, but rent expenses were recognized on a straight-line basis over the lease term. Upon adoption, right-of-use assets and lease liabilities are recognized upon lease commencement for operating leases. Variable lease payments that do not depend on a rate or index are expensed as incurred. The Group has elected not to recognize right-of-use assets or lease liabilities for leases with an initial term of 12 months or less and the Group recognizes lease expense for these leases on a straight-line basis over the lease term. In addition, the Group has elected not to separate non- lease components (e.g., common area maintenance fees) from the lease components.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limited cases, the Group sublease certain hotels areas to third parties. Income from sublease agreements with third parties are included in retail revenues and others, within the consolidated statements of comprehensive income. The impact of ASC 842 on the Group’s accounting as a lessor was not significant.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Supplemental Balance Sheet</w:t>
      </w:r>
    </w:p>
    <w:p>
      <w:pPr>
        <w:pStyle w:val="TextBody"/>
        <w:spacing w:before="0" w:after="0"/>
        <w:ind w:left="0" w:right="0" w:hanging="0"/>
        <w:rPr/>
      </w:pPr>
      <w:r>
        <w:rPr/>
        <w:t>​</w:t>
      </w:r>
    </w:p>
    <w:tbl>
      <w:tblPr>
        <w:tblW w:w="4573" w:type="dxa"/>
        <w:jc w:val="left"/>
        <w:tblInd w:w="0" w:type="dxa"/>
        <w:tblCellMar>
          <w:top w:w="0" w:type="dxa"/>
          <w:left w:w="0" w:type="dxa"/>
          <w:bottom w:w="0" w:type="dxa"/>
          <w:right w:w="0" w:type="dxa"/>
        </w:tblCellMar>
      </w:tblPr>
      <w:tblGrid>
        <w:gridCol w:w="2881"/>
        <w:gridCol w:w="146"/>
        <w:gridCol w:w="1546"/>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829435" cy="175260"/>
                      <wp:effectExtent l="0" t="0" r="0" b="0"/>
                      <wp:wrapNone/>
                      <wp:docPr id="441" name="Frame433"/>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92710" cy="175260"/>
                      <wp:effectExtent l="0" t="0" r="0" b="0"/>
                      <wp:wrapNone/>
                      <wp:docPr id="442" name="Frame43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981710" cy="175260"/>
                      <wp:effectExtent l="0" t="0" r="0" b="0"/>
                      <wp:wrapNone/>
                      <wp:docPr id="443" name="Frame435"/>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0"/>
              <w:ind w:left="0" w:right="0" w:hanging="0"/>
              <w:rPr>
                <w:color w:val="231F20"/>
              </w:rPr>
            </w:pPr>
            <w:r>
              <w:rPr>
                <w:color w:val="231F20"/>
              </w:rPr>
              <w:t>​</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w:t>
            </w:r>
          </w:p>
        </w:tc>
      </w:tr>
      <w:tr>
        <w:trPr/>
        <w:tc>
          <w:tcPr>
            <w:tcW w:w="2881" w:type="dxa"/>
            <w:tcBorders/>
            <w:shd w:fill="auto" w:val="clear"/>
            <w:vAlign w:val="center"/>
          </w:tcPr>
          <w:p>
            <w:pPr>
              <w:pStyle w:val="TableContents"/>
              <w:spacing w:before="0" w:after="0"/>
              <w:ind w:left="0" w:right="0" w:hanging="0"/>
              <w:rPr>
                <w:color w:val="231F20"/>
              </w:rPr>
            </w:pPr>
            <w:r>
              <w:rPr>
                <w:color w:val="231F20"/>
              </w:rPr>
              <w:t>​</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2022</w:t>
            </w:r>
          </w:p>
        </w:tc>
      </w:tr>
      <w:tr>
        <w:trPr/>
        <w:tc>
          <w:tcPr>
            <w:tcW w:w="2881" w:type="dxa"/>
            <w:tcBorders/>
            <w:shd w:fill="auto" w:val="clear"/>
            <w:vAlign w:val="center"/>
          </w:tcPr>
          <w:p>
            <w:pPr>
              <w:pStyle w:val="TableContents"/>
              <w:spacing w:before="0" w:after="0"/>
              <w:ind w:left="0" w:right="0" w:hanging="0"/>
              <w:rPr>
                <w:color w:val="231F20"/>
              </w:rPr>
            </w:pPr>
            <w:r>
              <w:rPr>
                <w:color w:val="231F20"/>
              </w:rPr>
              <w:t>​</w:t>
            </w:r>
          </w:p>
        </w:tc>
        <w:tc>
          <w:tcPr>
            <w:tcW w:w="146" w:type="dxa"/>
            <w:tcBorders/>
            <w:shd w:fill="auto" w:val="clear"/>
            <w:vAlign w:val="center"/>
          </w:tcPr>
          <w:p>
            <w:pPr>
              <w:pStyle w:val="TableContents"/>
              <w:spacing w:before="0" w:after="0"/>
              <w:ind w:left="0" w:right="0" w:hanging="0"/>
              <w:rPr>
                <w:color w:val="231F20"/>
              </w:rPr>
            </w:pPr>
            <w:r>
              <w:rPr>
                <w:color w:val="231F20"/>
              </w:rPr>
              <w:t>​</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Assets</w:t>
            </w:r>
          </w:p>
        </w:tc>
        <w:tc>
          <w:tcPr>
            <w:tcW w:w="146" w:type="dxa"/>
            <w:tcBorders/>
            <w:shd w:fill="CCEEFF" w:val="clear"/>
            <w:vAlign w:val="center"/>
          </w:tcPr>
          <w:p>
            <w:pPr>
              <w:pStyle w:val="TableContents"/>
              <w:spacing w:before="0" w:after="0"/>
              <w:ind w:left="0" w:right="0" w:hanging="0"/>
              <w:rPr/>
            </w:pPr>
            <w:r>
              <w:rPr/>
              <w:t> </w:t>
            </w:r>
          </w:p>
        </w:tc>
        <w:tc>
          <w:tcPr>
            <w:tcW w:w="1546" w:type="dxa"/>
            <w:tcBorders/>
            <w:shd w:fill="CCEEFF" w:val="clear"/>
            <w:vAlign w:val="center"/>
          </w:tcPr>
          <w:p>
            <w:pPr>
              <w:pStyle w:val="TableContents"/>
              <w:spacing w:before="0" w:after="0"/>
              <w:ind w:left="0" w:right="0" w:hanging="0"/>
              <w:jc w:val="right"/>
              <w:rPr/>
            </w:pPr>
            <w:r>
              <w:rPr/>
              <w:t>  </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lease right-of-use assets</w:t>
            </w:r>
          </w:p>
        </w:tc>
        <w:tc>
          <w:tcPr>
            <w:tcW w:w="146" w:type="dxa"/>
            <w:tcBorders/>
            <w:shd w:fill="auto" w:val="clear"/>
            <w:vAlign w:val="center"/>
          </w:tcPr>
          <w:p>
            <w:pPr>
              <w:pStyle w:val="TableContents"/>
              <w:spacing w:before="0" w:after="0"/>
              <w:ind w:left="0" w:right="0" w:hanging="0"/>
              <w:rPr/>
            </w:pPr>
            <w:r>
              <w:rPr/>
              <w:t> </w:t>
            </w:r>
          </w:p>
        </w:tc>
        <w:tc>
          <w:tcPr>
            <w:tcW w:w="15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1,932,000</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Liabilities</w:t>
            </w:r>
          </w:p>
        </w:tc>
        <w:tc>
          <w:tcPr>
            <w:tcW w:w="146" w:type="dxa"/>
            <w:tcBorders/>
            <w:shd w:fill="CCEEFF" w:val="clear"/>
            <w:vAlign w:val="center"/>
          </w:tcPr>
          <w:p>
            <w:pPr>
              <w:pStyle w:val="TableContents"/>
              <w:spacing w:before="0" w:after="0"/>
              <w:ind w:left="0" w:right="0" w:hanging="0"/>
              <w:rPr>
                <w:color w:val="231F20"/>
              </w:rPr>
            </w:pPr>
            <w:r>
              <w:rPr>
                <w:color w:val="231F20"/>
              </w:rPr>
              <w:t> </w:t>
            </w:r>
          </w:p>
        </w:tc>
        <w:tc>
          <w:tcPr>
            <w:tcW w:w="1546" w:type="dxa"/>
            <w:tcBorders/>
            <w:shd w:fill="CCEEFF" w:val="clear"/>
            <w:vAlign w:val="center"/>
          </w:tcPr>
          <w:p>
            <w:pPr>
              <w:pStyle w:val="TableContents"/>
              <w:spacing w:before="0" w:after="0"/>
              <w:ind w:left="0" w:right="0" w:hanging="0"/>
              <w:jc w:val="right"/>
              <w:rPr>
                <w:color w:val="231F20"/>
              </w:rPr>
            </w:pPr>
            <w:r>
              <w:rPr>
                <w:color w:val="231F20"/>
              </w:rPr>
              <w:t>  </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Current</w:t>
            </w:r>
          </w:p>
        </w:tc>
        <w:tc>
          <w:tcPr>
            <w:tcW w:w="146" w:type="dxa"/>
            <w:tcBorders/>
            <w:shd w:fill="auto" w:val="clear"/>
            <w:vAlign w:val="center"/>
          </w:tcPr>
          <w:p>
            <w:pPr>
              <w:pStyle w:val="TableContents"/>
              <w:spacing w:before="0" w:after="0"/>
              <w:ind w:left="0" w:right="0" w:hanging="0"/>
              <w:rPr>
                <w:color w:val="231F20"/>
              </w:rPr>
            </w:pPr>
            <w:r>
              <w:rPr>
                <w:color w:val="231F20"/>
              </w:rPr>
              <w:t> </w:t>
            </w:r>
          </w:p>
        </w:tc>
        <w:tc>
          <w:tcPr>
            <w:tcW w:w="1546" w:type="dxa"/>
            <w:tcBorders/>
            <w:shd w:fill="auto" w:val="clear"/>
            <w:vAlign w:val="center"/>
          </w:tcPr>
          <w:p>
            <w:pPr>
              <w:pStyle w:val="TableContents"/>
              <w:spacing w:before="0" w:after="0"/>
              <w:ind w:left="0" w:right="0" w:hanging="0"/>
              <w:jc w:val="right"/>
              <w:rPr>
                <w:color w:val="231F20"/>
              </w:rPr>
            </w:pPr>
            <w:r>
              <w:rPr>
                <w:color w:val="231F20"/>
              </w:rPr>
              <w:t>  </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lease liabilities</w:t>
            </w:r>
          </w:p>
        </w:tc>
        <w:tc>
          <w:tcPr>
            <w:tcW w:w="146" w:type="dxa"/>
            <w:tcBorders/>
            <w:shd w:fill="CCEEFF" w:val="clear"/>
            <w:vAlign w:val="center"/>
          </w:tcPr>
          <w:p>
            <w:pPr>
              <w:pStyle w:val="TableContents"/>
              <w:spacing w:before="0" w:after="0"/>
              <w:ind w:left="0" w:right="0" w:hanging="0"/>
              <w:rPr>
                <w:color w:val="231F20"/>
              </w:rPr>
            </w:pPr>
            <w:r>
              <w:rPr>
                <w:color w:val="231F20"/>
              </w:rPr>
              <w:t> </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319,598</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Non-current</w:t>
            </w:r>
          </w:p>
        </w:tc>
        <w:tc>
          <w:tcPr>
            <w:tcW w:w="146" w:type="dxa"/>
            <w:tcBorders/>
            <w:shd w:fill="auto" w:val="clear"/>
            <w:vAlign w:val="center"/>
          </w:tcPr>
          <w:p>
            <w:pPr>
              <w:pStyle w:val="TableContents"/>
              <w:spacing w:before="0" w:after="0"/>
              <w:ind w:left="0" w:right="0" w:hanging="0"/>
              <w:rPr>
                <w:color w:val="231F20"/>
              </w:rPr>
            </w:pPr>
            <w:r>
              <w:rPr>
                <w:color w:val="231F20"/>
              </w:rPr>
              <w:t> </w:t>
            </w:r>
          </w:p>
        </w:tc>
        <w:tc>
          <w:tcPr>
            <w:tcW w:w="1546" w:type="dxa"/>
            <w:tcBorders/>
            <w:shd w:fill="auto" w:val="clear"/>
            <w:vAlign w:val="center"/>
          </w:tcPr>
          <w:p>
            <w:pPr>
              <w:pStyle w:val="TableContents"/>
              <w:spacing w:before="0" w:after="0"/>
              <w:ind w:left="0" w:right="0" w:hanging="0"/>
              <w:jc w:val="right"/>
              <w:rPr>
                <w:color w:val="231F20"/>
              </w:rPr>
            </w:pPr>
            <w:r>
              <w:rPr>
                <w:color w:val="231F20"/>
              </w:rPr>
              <w:t>  </w:t>
            </w:r>
          </w:p>
        </w:tc>
      </w:tr>
      <w:tr>
        <w:trPr/>
        <w:tc>
          <w:tcPr>
            <w:tcW w:w="2881"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lease liabilities</w:t>
            </w:r>
          </w:p>
        </w:tc>
        <w:tc>
          <w:tcPr>
            <w:tcW w:w="146" w:type="dxa"/>
            <w:tcBorders/>
            <w:shd w:fill="CCEEFF" w:val="clear"/>
            <w:vAlign w:val="center"/>
          </w:tcPr>
          <w:p>
            <w:pPr>
              <w:pStyle w:val="TableContents"/>
              <w:spacing w:before="0" w:after="0"/>
              <w:ind w:left="0" w:right="0" w:hanging="0"/>
              <w:rPr>
                <w:color w:val="231F20"/>
              </w:rPr>
            </w:pPr>
            <w:r>
              <w:rPr>
                <w:color w:val="231F20"/>
              </w:rPr>
              <w:t> </w:t>
            </w:r>
          </w:p>
        </w:tc>
        <w:tc>
          <w:tcPr>
            <w:tcW w:w="15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1,805,402</w:t>
            </w:r>
          </w:p>
        </w:tc>
      </w:tr>
      <w:tr>
        <w:trPr/>
        <w:tc>
          <w:tcPr>
            <w:tcW w:w="2881" w:type="dxa"/>
            <w:tcBorders/>
            <w:shd w:fill="auto"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lease liabilities</w:t>
            </w:r>
          </w:p>
        </w:tc>
        <w:tc>
          <w:tcPr>
            <w:tcW w:w="146" w:type="dxa"/>
            <w:tcBorders/>
            <w:shd w:fill="auto" w:val="clear"/>
            <w:vAlign w:val="center"/>
          </w:tcPr>
          <w:p>
            <w:pPr>
              <w:pStyle w:val="TableContents"/>
              <w:spacing w:before="0" w:after="0"/>
              <w:ind w:left="0" w:right="0" w:hanging="0"/>
              <w:rPr>
                <w:color w:val="231F20"/>
              </w:rPr>
            </w:pPr>
            <w:r>
              <w:rPr>
                <w:color w:val="231F20"/>
              </w:rPr>
              <w:t> </w:t>
            </w:r>
          </w:p>
        </w:tc>
        <w:tc>
          <w:tcPr>
            <w:tcW w:w="15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2,125,000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759" w:name="Tc_hVErQOjUhEGHcu9xPBgxYg_9_0"/>
      <w:bookmarkStart w:id="1760" w:name="Tc_quQ-sL4plUOMlrVuv2nouA_8_0"/>
      <w:bookmarkStart w:id="1761" w:name="Tc_zmlTYBeVXES8Zm-DuKAyEQ_7_0"/>
      <w:bookmarkStart w:id="1762" w:name="Tc_D-LgMMwAQ0quheVcEb0jRQ_6_0"/>
      <w:bookmarkStart w:id="1763" w:name="Tc_Av1rVJRFPkSByG_fXWG2BA_5_0"/>
      <w:bookmarkStart w:id="1764" w:name="Tc_EHZRXZ62nEehs8fMNJD-Qg_4_0"/>
      <w:bookmarkStart w:id="1765" w:name="Tc_50oz9UhQGU-hjmA03uwfqQ_3_0"/>
      <w:bookmarkStart w:id="1766" w:name="Tc_4H3H1lY1BUqyripKnNWMuw_2_0"/>
      <w:bookmarkStart w:id="1767" w:name="Tc_iGldJEDmOUKkSUPee93HKw_1_2"/>
      <w:bookmarkStart w:id="1768" w:name="_239685b1_8ad2_4898_9817_a921ea259173"/>
      <w:bookmarkStart w:id="1769" w:name="Tc_DHJeOkw8G0K5ucA5b8qO1Q_7_3"/>
      <w:bookmarkStart w:id="1770" w:name="Tc_EIpznY8nG0KpbIchUzncaQ_7_0"/>
      <w:bookmarkStart w:id="1771" w:name="Tc_DvzktKaGQEOXqkoUmSuosw_6_0"/>
      <w:bookmarkStart w:id="1772" w:name="Tc_pD7UepHpMEi15NnOr9cYTg_5_0"/>
      <w:bookmarkStart w:id="1773" w:name="Tc_mZcltm3wEkq1d2lWZ3BK5g_4_0"/>
      <w:bookmarkStart w:id="1774" w:name="Tc_Ak-Qfad7OUau4da_ps-aoQ_3_0"/>
      <w:bookmarkStart w:id="1775" w:name="Tc_jeLr-euTC0-JKZ3Xz3laYw_2_2"/>
      <w:bookmarkStart w:id="1776" w:name="Tc_fGY3k2ZR-Eys8Nk4Xzg5ew_1_2"/>
      <w:bookmarkStart w:id="1777" w:name="_d2ac6061_68bb_4a09_9153_599316885385"/>
      <w:bookmarkStart w:id="1778" w:name="Tc_i_JMDHmNEUSOHyOiPhl-ug_5_0"/>
      <w:bookmarkStart w:id="1779" w:name="Tc_iydxyDTzfEmmwIV7iXxx2Q_4_0"/>
      <w:bookmarkStart w:id="1780" w:name="Tc_9CbwpgLuKEWSYBQqM27G_w_3_2"/>
      <w:bookmarkStart w:id="1781" w:name="Tc_vHNI-dl-MUqQqc2eCcAt6g_2_2"/>
      <w:bookmarkStart w:id="1782" w:name="Tc_6Vf_z_40_Uuzd5SKEOVfaQ_1_2"/>
      <w:bookmarkStart w:id="1783" w:name="_ba140ccb_3185_4a2b_a5dc_5900424d545d"/>
      <w:bookmarkStart w:id="1784" w:name="Tc_YqOgj93BHECJYpDh8j696w_7_0"/>
      <w:bookmarkStart w:id="1785" w:name="Tc_KzhIm2oCekqkgHttqhS0kQ_6_4"/>
      <w:bookmarkStart w:id="1786" w:name="Tc_ab4FUpnMFEuwTrs4DVyfJQ_6_0"/>
      <w:bookmarkStart w:id="1787" w:name="Tc_iUxf_J4Ux0q1EBqVrOxV8g_5_4"/>
      <w:bookmarkStart w:id="1788" w:name="Tc_TptnzUkEWUe2ww55aLxh6w_5_0"/>
      <w:bookmarkStart w:id="1789" w:name="Tc_fGXykDTrW0CZgE6cIq3lhg_4_4"/>
      <w:bookmarkStart w:id="1790" w:name="Tc_VsqMGkQBwk21d4wABws34Q_4_0"/>
      <w:bookmarkStart w:id="1791" w:name="Tc_qIgnLHEuREOtgb69ZLIZnA_3_2"/>
      <w:bookmarkStart w:id="1792" w:name="Tc_pIbSKNNV5UGemHFU5t_mYQ_2_4"/>
      <w:bookmarkStart w:id="1793" w:name="Tc_9VdVSr7liEKw-VwsRD1Whg_2_2"/>
      <w:bookmarkStart w:id="1794" w:name="Tc_JEFr9fh_E0uRw7APm8Y2Eg_1_2"/>
      <w:bookmarkStart w:id="1795" w:name="_0270a8ae_aae6_45d7_9d31_834c9e7d6333"/>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r>
        <w:rPr>
          <w:rFonts w:ascii="Times New Roman;Times;serif" w:hAnsi="Times New Roman;Times;serif"/>
          <w:b/>
          <w:sz w:val="20"/>
        </w:rPr>
        <w:t>Summary of Lease Cost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06"/>
        <w:gridCol w:w="326"/>
        <w:gridCol w:w="1561"/>
        <w:gridCol w:w="326"/>
        <w:gridCol w:w="6286"/>
      </w:tblGrid>
      <w:tr>
        <w:trPr/>
        <w:tc>
          <w:tcPr>
            <w:tcW w:w="1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083310" cy="175260"/>
                      <wp:effectExtent l="0" t="0" r="0" b="0"/>
                      <wp:wrapNone/>
                      <wp:docPr id="444" name="Frame436"/>
                      <a:graphic xmlns:a="http://schemas.openxmlformats.org/drawingml/2006/main">
                        <a:graphicData uri="http://schemas.microsoft.com/office/word/2010/wordprocessingShape">
                          <wps:wsp>
                            <wps:cNvSpPr txBox="1"/>
                            <wps:spPr>
                              <a:xfrm>
                                <a:off x="0" y="0"/>
                                <a:ext cx="1083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91235" cy="175260"/>
                      <wp:effectExtent l="0" t="0" r="0" b="0"/>
                      <wp:wrapNone/>
                      <wp:docPr id="446" name="Frame438"/>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991610" cy="175260"/>
                      <wp:effectExtent l="0" t="0" r="0" b="0"/>
                      <wp:wrapNone/>
                      <wp:docPr id="448" name="Frame440"/>
                      <a:graphic xmlns:a="http://schemas.openxmlformats.org/drawingml/2006/main">
                        <a:graphicData uri="http://schemas.microsoft.com/office/word/2010/wordprocessingShape">
                          <wps:wsp>
                            <wps:cNvSpPr txBox="1"/>
                            <wps:spPr>
                              <a:xfrm>
                                <a:off x="0" y="0"/>
                                <a:ext cx="3991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6286" w:type="dxa"/>
            <w:tcBorders/>
            <w:shd w:fill="auto" w:val="clear"/>
            <w:vAlign w:val="center"/>
          </w:tcPr>
          <w:p>
            <w:pPr>
              <w:pStyle w:val="TableContents"/>
              <w:spacing w:before="0" w:after="0"/>
              <w:ind w:left="0" w:right="0" w:hanging="0"/>
              <w:jc w:val="center"/>
              <w:rPr>
                <w:color w:val="231F20"/>
              </w:rPr>
            </w:pPr>
            <w:r>
              <w:rPr>
                <w:color w:val="231F20"/>
              </w:rPr>
              <w:t>​</w:t>
            </w:r>
          </w:p>
        </w:tc>
      </w:tr>
      <w:tr>
        <w:trPr/>
        <w:tc>
          <w:tcPr>
            <w:tcW w:w="1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2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Account Classification</w:t>
            </w:r>
          </w:p>
        </w:tc>
      </w:tr>
      <w:tr>
        <w:trPr/>
        <w:tc>
          <w:tcPr>
            <w:tcW w:w="1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0"/>
              <w:ind w:left="0" w:right="0" w:hanging="0"/>
              <w:rPr/>
            </w:pPr>
            <w:r>
              <w:rPr/>
              <w:t>​</w:t>
            </w:r>
          </w:p>
        </w:tc>
        <w:tc>
          <w:tcPr>
            <w:tcW w:w="6286" w:type="dxa"/>
            <w:tcBorders/>
            <w:shd w:fill="auto" w:val="clear"/>
            <w:vAlign w:val="center"/>
          </w:tcPr>
          <w:p>
            <w:pPr>
              <w:pStyle w:val="TableContents"/>
              <w:spacing w:before="0" w:after="0"/>
              <w:ind w:left="0" w:right="0" w:hanging="0"/>
              <w:rPr/>
            </w:pPr>
            <w:r>
              <w:rPr/>
              <w:t>​</w:t>
            </w:r>
          </w:p>
        </w:tc>
      </w:tr>
      <w:tr>
        <w:trPr/>
        <w:tc>
          <w:tcPr>
            <w:tcW w:w="170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lease cost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362,689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28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Hotel operating costs, Other operating costs, General and administrative expenses</w:t>
            </w:r>
          </w:p>
        </w:tc>
      </w:tr>
      <w:tr>
        <w:trPr/>
        <w:tc>
          <w:tcPr>
            <w:tcW w:w="170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color w:val="231F20"/>
                <w:sz w:val="20"/>
              </w:rPr>
              <w:t>Variable lease cost</w:t>
            </w:r>
            <w:r>
              <w:rPr>
                <w:rFonts w:ascii="Times New Roman;Times;serif" w:hAnsi="Times New Roman;Times;serif"/>
                <w:color w:val="231F20"/>
                <w:sz w:val="15"/>
              </w:rPr>
              <w:t>(a)</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56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(20,684)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28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Hotel operating costs, Other operating costs</w:t>
            </w:r>
          </w:p>
        </w:tc>
      </w:tr>
      <w:tr>
        <w:trPr/>
        <w:tc>
          <w:tcPr>
            <w:tcW w:w="170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Sublease income</w:t>
            </w:r>
          </w:p>
        </w:tc>
        <w:tc>
          <w:tcPr>
            <w:tcW w:w="326" w:type="dxa"/>
            <w:tcBorders/>
            <w:shd w:fill="CCEEFF" w:val="clear"/>
            <w:vAlign w:val="center"/>
          </w:tcPr>
          <w:p>
            <w:pPr>
              <w:pStyle w:val="TableContents"/>
              <w:spacing w:before="0" w:after="0"/>
              <w:ind w:left="0" w:right="0" w:hanging="0"/>
              <w:rPr/>
            </w:pPr>
            <w:r>
              <w:rPr/>
              <w:t> </w:t>
            </w:r>
          </w:p>
        </w:tc>
        <w:tc>
          <w:tcPr>
            <w:tcW w:w="15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28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Retail revenues and others</w:t>
            </w:r>
          </w:p>
        </w:tc>
      </w:tr>
      <w:tr>
        <w:trPr/>
        <w:tc>
          <w:tcPr>
            <w:tcW w:w="1706"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lease cost</w:t>
            </w:r>
          </w:p>
        </w:tc>
        <w:tc>
          <w:tcPr>
            <w:tcW w:w="326" w:type="dxa"/>
            <w:tcBorders/>
            <w:shd w:fill="auto" w:val="clear"/>
            <w:vAlign w:val="center"/>
          </w:tcPr>
          <w:p>
            <w:pPr>
              <w:pStyle w:val="TableContents"/>
              <w:spacing w:before="0" w:after="0"/>
              <w:ind w:left="0" w:right="0" w:hanging="0"/>
              <w:rPr/>
            </w:pPr>
            <w:r>
              <w:rPr/>
              <w:t> </w:t>
            </w:r>
          </w:p>
        </w:tc>
        <w:tc>
          <w:tcPr>
            <w:tcW w:w="15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332,986</w:t>
            </w:r>
          </w:p>
        </w:tc>
        <w:tc>
          <w:tcPr>
            <w:tcW w:w="326" w:type="dxa"/>
            <w:tcBorders/>
            <w:shd w:fill="auto" w:val="clear"/>
            <w:vAlign w:val="center"/>
          </w:tcPr>
          <w:p>
            <w:pPr>
              <w:pStyle w:val="TableContents"/>
              <w:spacing w:before="0" w:after="0"/>
              <w:ind w:left="0" w:right="0" w:hanging="0"/>
              <w:rPr/>
            </w:pPr>
            <w:r>
              <w:rPr/>
              <w:t> </w:t>
            </w:r>
          </w:p>
        </w:tc>
        <w:tc>
          <w:tcPr>
            <w:tcW w:w="6286" w:type="dxa"/>
            <w:tcBorders/>
            <w:shd w:fill="auto" w:val="clear"/>
            <w:vAlign w:val="center"/>
          </w:tcPr>
          <w:p>
            <w:pPr>
              <w:pStyle w:val="TableContents"/>
              <w:spacing w:before="0" w:after="0"/>
              <w:ind w:left="0" w:right="0" w:hanging="0"/>
              <w:jc w:val="right"/>
              <w:rPr/>
            </w:pPr>
            <w:r>
              <w:rPr/>
              <w:t>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(a)</w:t>
            </w:r>
          </w:p>
        </w:tc>
        <w:tc>
          <w:tcPr>
            <w:tcW w:w="993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6"/>
              </w:rPr>
              <w:t>The Group was granted RMB27,122</w:t>
            </w:r>
            <w:r>
              <w:rPr>
                <w:rFonts w:ascii="Times New Roman;Times;serif" w:hAnsi="Times New Roman;Times;serif"/>
                <w:sz w:val="20"/>
              </w:rPr>
              <w:t xml:space="preserve"> </w:t>
            </w:r>
            <w:r>
              <w:rPr>
                <w:rFonts w:ascii="Times New Roman;Times;serif" w:hAnsi="Times New Roman;Times;serif"/>
                <w:sz w:val="16"/>
              </w:rPr>
              <w:t>in lease concessions from landlords related to the effects of the COVID-19 pandemic in 2022. The lease concessions were primarily in the form of rent reduction over the period during which the Group’s hotel business was adversely impacted. The Group applied the interpretive guidance in a FASB staff Q&amp;A document issued in April 2020 and elected: (1) not to evaluate whether a concession received in response to the COVID-19 pandemic is a lease modification and (2) to assume such concession was contemplated as part of the existing lease contract with no contract modification. Such concession was recognized as negative variable lease cost in the period the concession was granted.</w:t>
            </w:r>
          </w:p>
        </w:tc>
      </w:tr>
    </w:tbl>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(b)</w:t>
            </w:r>
          </w:p>
        </w:tc>
        <w:tc>
          <w:tcPr>
            <w:tcW w:w="989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6"/>
              </w:rPr>
              <w:t>The total lease cost in 2020 and 2021 were RMB358,853</w:t>
            </w:r>
            <w:r>
              <w:rPr>
                <w:rFonts w:ascii="Times New Roman;Times;serif" w:hAnsi="Times New Roman;Times;serif"/>
                <w:sz w:val="20"/>
              </w:rPr>
              <w:t xml:space="preserve"> </w:t>
            </w:r>
            <w:r>
              <w:rPr>
                <w:rFonts w:ascii="Times New Roman;Times;serif" w:hAnsi="Times New Roman;Times;serif"/>
                <w:sz w:val="16"/>
              </w:rPr>
              <w:t>and RMB366,763, respectively, which included RMB12,668</w:t>
            </w:r>
            <w:r>
              <w:rPr>
                <w:rFonts w:ascii="Times New Roman;Times;serif" w:hAnsi="Times New Roman;Times;serif"/>
                <w:sz w:val="20"/>
              </w:rPr>
              <w:t xml:space="preserve"> </w:t>
            </w:r>
            <w:r>
              <w:rPr>
                <w:rFonts w:ascii="Times New Roman;Times;serif" w:hAnsi="Times New Roman;Times;serif"/>
                <w:sz w:val="16"/>
              </w:rPr>
              <w:t>and RMB646</w:t>
            </w:r>
            <w:r>
              <w:rPr>
                <w:rFonts w:ascii="Times New Roman;Times;serif" w:hAnsi="Times New Roman;Times;serif"/>
                <w:sz w:val="20"/>
              </w:rPr>
              <w:t xml:space="preserve"> </w:t>
            </w:r>
            <w:r>
              <w:rPr>
                <w:rFonts w:ascii="Times New Roman;Times;serif" w:hAnsi="Times New Roman;Times;serif"/>
                <w:sz w:val="16"/>
              </w:rPr>
              <w:t>of lease concessions from landlords related to the effects of the COVID-19 pandemic.</w:t>
            </w:r>
          </w:p>
        </w:tc>
      </w:tr>
    </w:tbl>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Supplemental Cash Flow Information</w:t>
      </w:r>
    </w:p>
    <w:p>
      <w:pPr>
        <w:pStyle w:val="TextBody"/>
        <w:spacing w:before="0" w:after="0"/>
        <w:ind w:left="0" w:right="0" w:hanging="0"/>
        <w:rPr/>
      </w:pPr>
      <w:r>
        <w:rPr/>
        <w:t>​</w:t>
      </w:r>
    </w:p>
    <w:tbl>
      <w:tblPr>
        <w:tblW w:w="7738" w:type="dxa"/>
        <w:jc w:val="left"/>
        <w:tblInd w:w="0" w:type="dxa"/>
        <w:tblCellMar>
          <w:top w:w="0" w:type="dxa"/>
          <w:left w:w="0" w:type="dxa"/>
          <w:bottom w:w="0" w:type="dxa"/>
          <w:right w:w="0" w:type="dxa"/>
        </w:tblCellMar>
      </w:tblPr>
      <w:tblGrid>
        <w:gridCol w:w="5866"/>
        <w:gridCol w:w="326"/>
        <w:gridCol w:w="1546"/>
      </w:tblGrid>
      <w:tr>
        <w:trPr/>
        <w:tc>
          <w:tcPr>
            <w:tcW w:w="5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724910" cy="175260"/>
                      <wp:effectExtent l="0" t="0" r="0" b="0"/>
                      <wp:wrapNone/>
                      <wp:docPr id="449" name="Frame441"/>
                      <a:graphic xmlns:a="http://schemas.openxmlformats.org/drawingml/2006/main">
                        <a:graphicData uri="http://schemas.microsoft.com/office/word/2010/wordprocessingShape">
                          <wps:wsp>
                            <wps:cNvSpPr txBox="1"/>
                            <wps:spPr>
                              <a:xfrm>
                                <a:off x="0" y="0"/>
                                <a:ext cx="3724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981710" cy="175260"/>
                      <wp:effectExtent l="0" t="0" r="0" b="0"/>
                      <wp:wrapNone/>
                      <wp:docPr id="451" name="Frame443"/>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w:t>
            </w:r>
          </w:p>
        </w:tc>
      </w:tr>
      <w:tr>
        <w:trPr/>
        <w:tc>
          <w:tcPr>
            <w:tcW w:w="5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Cash paid for amounts included in the measurement of lease liabilities:</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1546" w:type="dxa"/>
            <w:tcBorders/>
            <w:shd w:fill="CCEEFF" w:val="clear"/>
            <w:vAlign w:val="center"/>
          </w:tcPr>
          <w:p>
            <w:pPr>
              <w:pStyle w:val="TableContents"/>
              <w:spacing w:before="0" w:after="0"/>
              <w:ind w:left="0" w:right="0" w:hanging="0"/>
              <w:rPr>
                <w:color w:val="231F20"/>
              </w:rPr>
            </w:pPr>
            <w:r>
              <w:rPr>
                <w:color w:val="231F20"/>
              </w:rPr>
              <w:t>​</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cash flows from operating leases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546" w:type="dxa"/>
            <w:tcBorders/>
            <w:shd w:fill="auto" w:val="cle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341,348</w:t>
            </w:r>
          </w:p>
        </w:tc>
      </w:tr>
    </w:tbl>
    <w:p>
      <w:pPr>
        <w:pStyle w:val="TextBody"/>
        <w:pBdr/>
        <w:spacing w:before="0" w:after="0"/>
        <w:ind w:left="0" w:right="0" w:hanging="360"/>
        <w:rPr/>
      </w:pPr>
      <w:r>
        <w:rPr/>
        <w:t>​</w:t>
      </w:r>
    </w:p>
    <w:p>
      <w:pPr>
        <w:pStyle w:val="TextBody"/>
        <w:spacing w:before="0" w:after="0"/>
        <w:ind w:left="0" w:right="0" w:hanging="0"/>
        <w:rPr/>
      </w:pPr>
      <w:r>
        <w:rPr/>
        <w:t>​</w:t>
      </w:r>
    </w:p>
    <w:tbl>
      <w:tblPr>
        <w:tblW w:w="6059" w:type="dxa"/>
        <w:jc w:val="left"/>
        <w:tblInd w:w="0" w:type="dxa"/>
        <w:tblCellMar>
          <w:top w:w="0" w:type="dxa"/>
          <w:left w:w="0" w:type="dxa"/>
          <w:bottom w:w="0" w:type="dxa"/>
          <w:right w:w="0" w:type="dxa"/>
        </w:tblCellMar>
      </w:tblPr>
      <w:tblGrid>
        <w:gridCol w:w="3916"/>
        <w:gridCol w:w="326"/>
        <w:gridCol w:w="1501"/>
        <w:gridCol w:w="31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486660" cy="175260"/>
                      <wp:effectExtent l="0" t="0" r="0" b="0"/>
                      <wp:wrapNone/>
                      <wp:docPr id="452" name="Frame444"/>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53135" cy="175260"/>
                      <wp:effectExtent l="0" t="0" r="0" b="0"/>
                      <wp:wrapNone/>
                      <wp:docPr id="454" name="Frame446"/>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0660" cy="175260"/>
                      <wp:effectExtent l="0" t="0" r="0" b="0"/>
                      <wp:wrapNone/>
                      <wp:docPr id="455" name="Frame44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50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w:t>
            </w:r>
          </w:p>
        </w:tc>
        <w:tc>
          <w:tcPr>
            <w:tcW w:w="316" w:type="dxa"/>
            <w:tcBorders/>
            <w:shd w:fill="auto" w:val="clear"/>
            <w:vAlign w:val="center"/>
          </w:tcPr>
          <w:p>
            <w:pPr>
              <w:pStyle w:val="TableContents"/>
              <w:spacing w:before="0" w:after="0"/>
              <w:ind w:left="0" w:right="0" w:hanging="0"/>
              <w:jc w:val="center"/>
              <w:rPr>
                <w:color w:val="231F20"/>
              </w:rPr>
            </w:pPr>
            <w:r>
              <w:rPr>
                <w:color w:val="231F20"/>
              </w:rPr>
              <w:t>​</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 2022</w:t>
            </w:r>
          </w:p>
        </w:tc>
        <w:tc>
          <w:tcPr>
            <w:tcW w:w="316" w:type="dxa"/>
            <w:tcBorders/>
            <w:shd w:fill="auto" w:val="clear"/>
            <w:vAlign w:val="center"/>
          </w:tcPr>
          <w:p>
            <w:pPr>
              <w:pStyle w:val="TableContents"/>
              <w:spacing w:before="0" w:after="0"/>
              <w:ind w:left="0" w:right="0" w:hanging="0"/>
              <w:jc w:val="center"/>
              <w:rPr>
                <w:color w:val="231F20"/>
              </w:rPr>
            </w:pPr>
            <w:r>
              <w:rPr>
                <w:color w:val="231F20"/>
              </w:rPr>
              <w:t>​</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Lease term and Discount Rate</w:t>
            </w:r>
          </w:p>
        </w:tc>
        <w:tc>
          <w:tcPr>
            <w:tcW w:w="326"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Weighted-average remaining lease term (years)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1501" w:type="dxa"/>
            <w:tcBorders/>
            <w:shd w:fill="auto" w:val="clear"/>
            <w:vAlign w:val="center"/>
          </w:tcPr>
          <w:p>
            <w:pPr>
              <w:pStyle w:val="TableContents"/>
              <w:spacing w:before="0" w:after="0"/>
              <w:ind w:left="0" w:right="0" w:hanging="0"/>
              <w:rPr>
                <w:color w:val="231F20"/>
              </w:rPr>
            </w:pPr>
            <w:r>
              <w:rPr>
                <w:color w:val="231F20"/>
              </w:rPr>
              <w:t>​</w:t>
            </w:r>
          </w:p>
        </w:tc>
        <w:tc>
          <w:tcPr>
            <w:tcW w:w="316" w:type="dxa"/>
            <w:tcBorders/>
            <w:shd w:fill="auto" w:val="clear"/>
            <w:vAlign w:val="center"/>
          </w:tcPr>
          <w:p>
            <w:pPr>
              <w:pStyle w:val="TableContents"/>
              <w:spacing w:before="0" w:after="0"/>
              <w:ind w:left="0" w:right="0" w:hanging="0"/>
              <w:rPr>
                <w:color w:val="231F20"/>
              </w:rPr>
            </w:pPr>
            <w:r>
              <w:rPr>
                <w:color w:val="231F20"/>
              </w:rPr>
              <w:t>​</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leases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7.82</w:t>
            </w:r>
          </w:p>
        </w:tc>
        <w:tc>
          <w:tcPr>
            <w:tcW w:w="316" w:type="dxa"/>
            <w:tcBorders/>
            <w:shd w:fill="CCEEFF" w:val="clear"/>
            <w:vAlign w:val="center"/>
          </w:tcPr>
          <w:p>
            <w:pPr>
              <w:pStyle w:val="TableContents"/>
              <w:spacing w:before="0" w:after="0"/>
              <w:ind w:left="0" w:right="0" w:hanging="0"/>
              <w:rPr>
                <w:color w:val="231F20"/>
              </w:rPr>
            </w:pPr>
            <w:r>
              <w:rPr>
                <w:color w:val="231F20"/>
              </w:rPr>
              <w:t>​</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Weighted-average discount rate</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1501" w:type="dxa"/>
            <w:tcBorders/>
            <w:shd w:fill="auto" w:val="clear"/>
            <w:vAlign w:val="center"/>
          </w:tcPr>
          <w:p>
            <w:pPr>
              <w:pStyle w:val="TableContents"/>
              <w:spacing w:before="0" w:after="0"/>
              <w:ind w:left="0" w:right="0" w:hanging="0"/>
              <w:jc w:val="right"/>
              <w:rPr>
                <w:color w:val="231F20"/>
              </w:rPr>
            </w:pPr>
            <w:r>
              <w:rPr>
                <w:color w:val="231F20"/>
              </w:rPr>
              <w:t>​</w:t>
            </w:r>
          </w:p>
        </w:tc>
        <w:tc>
          <w:tcPr>
            <w:tcW w:w="316" w:type="dxa"/>
            <w:tcBorders/>
            <w:shd w:fill="auto" w:val="clear"/>
            <w:vAlign w:val="center"/>
          </w:tcPr>
          <w:p>
            <w:pPr>
              <w:pStyle w:val="TableContents"/>
              <w:spacing w:before="0" w:after="0"/>
              <w:ind w:left="0" w:right="0" w:hanging="0"/>
              <w:rPr>
                <w:color w:val="231F20"/>
              </w:rPr>
            </w:pPr>
            <w:r>
              <w:rPr>
                <w:color w:val="231F20"/>
              </w:rPr>
              <w:t>​</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Operating leases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w:t>
            </w:r>
          </w:p>
        </w:tc>
        <w:tc>
          <w:tcPr>
            <w:tcW w:w="31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spacing w:before="0" w:after="0"/>
        <w:ind w:left="0" w:right="0" w:hanging="0"/>
        <w:rPr/>
      </w:pPr>
      <w:r>
        <w:rPr/>
        <w:t>​</w:t>
      </w:r>
    </w:p>
    <w:p>
      <w:pPr>
        <w:pStyle w:val="TextBody"/>
        <w:pBdr/>
        <w:spacing w:before="0" w:after="0"/>
        <w:ind w:left="0" w:right="0" w:hanging="36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Summary of Future Lease Payments and Lease Liabilities</w:t>
      </w:r>
    </w:p>
    <w:p>
      <w:pPr>
        <w:pStyle w:val="TextBody"/>
        <w:spacing w:before="0" w:after="240"/>
        <w:ind w:left="360" w:right="0" w:firstLine="360"/>
        <w:rPr>
          <w:rFonts w:ascii="Times New Roman;Times;serif" w:hAnsi="Times New Roman;Times;serif"/>
          <w:sz w:val="20"/>
        </w:rPr>
      </w:pPr>
      <w:r>
        <w:rPr>
          <w:rFonts w:ascii="Times New Roman;Times;serif" w:hAnsi="Times New Roman;Times;serif"/>
          <w:sz w:val="20"/>
        </w:rPr>
        <w:t>Maturities of operating lease liabilities as of December 31, 2022 were as follows:</w:t>
      </w:r>
    </w:p>
    <w:tbl>
      <w:tblPr>
        <w:tblW w:w="4318" w:type="dxa"/>
        <w:jc w:val="left"/>
        <w:tblInd w:w="0" w:type="dxa"/>
        <w:tblCellMar>
          <w:top w:w="0" w:type="dxa"/>
          <w:left w:w="0" w:type="dxa"/>
          <w:bottom w:w="0" w:type="dxa"/>
          <w:right w:w="0" w:type="dxa"/>
        </w:tblCellMar>
      </w:tblPr>
      <w:tblGrid>
        <w:gridCol w:w="2956"/>
        <w:gridCol w:w="326"/>
        <w:gridCol w:w="1036"/>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877060" cy="175260"/>
                      <wp:effectExtent l="0" t="0" r="0" b="0"/>
                      <wp:wrapNone/>
                      <wp:docPr id="456" name="Frame448"/>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57860" cy="175260"/>
                      <wp:effectExtent l="0" t="0" r="0" b="0"/>
                      <wp:wrapNone/>
                      <wp:docPr id="458" name="Frame45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404,020</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2024</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341,576</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304,923</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284,170</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Thereafter</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1,175,366</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Total undiscounted lease payment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2,510,055</w:t>
            </w:r>
          </w:p>
        </w:tc>
      </w:tr>
      <w:tr>
        <w:trPr/>
        <w:tc>
          <w:tcPr>
            <w:tcW w:w="295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color w:val="231F20"/>
                <w:sz w:val="20"/>
              </w:rPr>
              <w:t>Less: imputed interest</w:t>
            </w:r>
            <w:r>
              <w:rPr>
                <w:rFonts w:ascii="Times New Roman;Times;serif" w:hAnsi="Times New Roman;Times;serif"/>
                <w:color w:val="231F20"/>
                <w:sz w:val="15"/>
              </w:rPr>
              <w:t>(a)</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(385,055)</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Present value of lease liabilities </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2,125,000</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(a)</w:t>
            </w:r>
          </w:p>
        </w:tc>
        <w:tc>
          <w:tcPr>
            <w:tcW w:w="9928"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6"/>
              </w:rPr>
              <w:t>As the Group’s leases do not provide an implicit rate, the Group uses its incremental borrowing rate based on the information available at the lease commencement date in determining the imputed interest and present value of lease payments. The incremental borrowing rate on January 1, 2022 was used for operating leases that commenced prior to that date</w:t>
            </w:r>
            <w:r>
              <w:rPr>
                <w:rFonts w:ascii="Times New Roman;Times;serif" w:hAnsi="Times New Roman;Times;serif"/>
                <w:b w:val="false"/>
                <w:i w:val="false"/>
                <w:caps w:val="false"/>
                <w:smallCaps w:val="false"/>
                <w:sz w:val="20"/>
              </w:rPr>
              <w:t>.</w:t>
            </w:r>
          </w:p>
        </w:tc>
      </w:tr>
    </w:tbl>
    <w:p>
      <w:pPr>
        <w:pStyle w:val="TextBody"/>
        <w:spacing w:before="0" w:after="0"/>
        <w:ind w:left="36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202" w:type="dxa"/>
        <w:jc w:val="left"/>
        <w:tblInd w:w="0" w:type="dxa"/>
        <w:tblCellMar>
          <w:top w:w="0" w:type="dxa"/>
          <w:left w:w="0" w:type="dxa"/>
          <w:bottom w:w="0" w:type="dxa"/>
          <w:right w:w="0" w:type="dxa"/>
        </w:tblCellMar>
      </w:tblPr>
      <w:tblGrid>
        <w:gridCol w:w="271"/>
        <w:gridCol w:w="931"/>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7.</w:t>
            </w:r>
          </w:p>
        </w:tc>
        <w:tc>
          <w:tcPr>
            <w:tcW w:w="93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Goodwill</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is no change in the carrying amount of goodwill for the years ended December 31, 2020, 2021 and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Goodwill represents the excess of the purchase price over the fair value of the net tangible and intangible assets acquired in the acquisition.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Goodwill is not deductible for tax purposes and is assigned to the only reporting unit of the Group, which is the Atour Group. The Group did not incur any impairment loss on goodwill for the years ended December 31, 2020, 2021 and 2022.</w:t>
      </w:r>
    </w:p>
    <w:tbl>
      <w:tblPr>
        <w:tblW w:w="1367" w:type="dxa"/>
        <w:jc w:val="left"/>
        <w:tblInd w:w="0" w:type="dxa"/>
        <w:tblCellMar>
          <w:top w:w="0" w:type="dxa"/>
          <w:left w:w="0" w:type="dxa"/>
          <w:bottom w:w="0" w:type="dxa"/>
          <w:right w:w="0" w:type="dxa"/>
        </w:tblCellMar>
      </w:tblPr>
      <w:tblGrid>
        <w:gridCol w:w="271"/>
        <w:gridCol w:w="1096"/>
      </w:tblGrid>
      <w:tr>
        <w:trPr/>
        <w:tc>
          <w:tcPr>
            <w:tcW w:w="2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8.</w:t>
            </w:r>
          </w:p>
        </w:tc>
        <w:tc>
          <w:tcPr>
            <w:tcW w:w="109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Income tax</w:t>
            </w:r>
          </w:p>
        </w:tc>
      </w:tr>
    </w:tbl>
    <w:tbl>
      <w:tblPr>
        <w:tblW w:w="1487" w:type="dxa"/>
        <w:jc w:val="left"/>
        <w:tblInd w:w="0" w:type="dxa"/>
        <w:tblCellMar>
          <w:top w:w="0" w:type="dxa"/>
          <w:left w:w="0" w:type="dxa"/>
          <w:bottom w:w="0" w:type="dxa"/>
          <w:right w:w="0" w:type="dxa"/>
        </w:tblCellMar>
      </w:tblPr>
      <w:tblGrid>
        <w:gridCol w:w="346"/>
        <w:gridCol w:w="1141"/>
      </w:tblGrid>
      <w:tr>
        <w:trPr/>
        <w:tc>
          <w:tcPr>
            <w:tcW w:w="34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(a)</w:t>
            </w:r>
          </w:p>
        </w:tc>
        <w:tc>
          <w:tcPr>
            <w:tcW w:w="114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Income Tax</w:t>
            </w:r>
          </w:p>
        </w:tc>
      </w:tr>
    </w:tbl>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Cayman Islands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income or capital gain. Additionally, the Cayman Islands does not impose a withholding tax on payments of dividends to shareholders.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Hong Kong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current Hong Kong Inland Revenue Ordinance, the Company’s Hong Kong subsidiary is subject to Hong Kong profits tax at the rate of 16.5% on its taxable income generated from operations in Hong Kong. A two-tiered Profits Tax rates regime was introduced since year 2018 where the first HK$2,000 of assessable profits earned by a company will be taxed at 8.25% and the remaining profits will be taxed at 16.5%. There is an anti-fragmentation measure where each group will have to nominate only one company in the group to benefit from the progressive rates. Payments of dividends by the Hong Kong subsidiary to the Company is not subject to any Hong Kong withholding tax.</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PRC</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Law of the PRC on Enterprise Income Tax (“EIT Law”), which was effective from January 1, 2008, the Company’s PRC subsidiaries are subject to a uniform tax rate of 25%, and the industries and projects that are encouraged and supported by the State may enjoy tax preferential treatment.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Under the EIT Law and its implementation rules, an enterprise established outside China with a “place of effective management” within China is considered a China resident enterprise for Chinese enterprise income tax purposes. A China resident enterprise is generally subject to certain Chinese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Dividends paid to non-PRC-resident corporate investor from profits earned by the PRC subsidiaries after January 1, 2008 would be subject to a withholding tax. The EIT Law and its relevant regulations impose a withholding tax at 10%, unless reduced by a tax treaty or agreement, for dividends distributed by a PRC-resident enterprise to its non-PRC-resident corporate investor for earnings generated beginning on January 1, 2008.</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color w:val="231F20"/>
          <w:sz w:val="20"/>
        </w:rPr>
      </w:pPr>
      <w:bookmarkStart w:id="1796" w:name="Tc_xEiOF61askCbFOdllDhzMA_18_0"/>
      <w:bookmarkStart w:id="1797" w:name="Tc_bKE7NfOx0E6gUrowGXmQSA_17_0"/>
      <w:bookmarkStart w:id="1798" w:name="Tc_1X5li7oEvUGlVaQqeJcP6A_16_0"/>
      <w:bookmarkStart w:id="1799" w:name="Tc_01oQb0Odk0O3K4sGQKNmdg_15_0"/>
      <w:bookmarkStart w:id="1800" w:name="Tc_FwYBLUWl60mB84W3O8LSfQ_14_0"/>
      <w:bookmarkStart w:id="1801" w:name="Tc_yOzjQnSPeEmghGVMi-p3Jg_13_2"/>
      <w:bookmarkStart w:id="1802" w:name="Tc_IHdIktxh_UGEe9oi1Rye2Q_13_0"/>
      <w:bookmarkStart w:id="1803" w:name="Tc__wkFUu9erEqRFMuOMmSElg_12_2"/>
      <w:bookmarkStart w:id="1804" w:name="Tc_UyUA93QO2EuOPaF7tfU6uA_12_0"/>
      <w:bookmarkStart w:id="1805" w:name="Tc_kXqApX5S-k2WrZD4nemnfw_11_4"/>
      <w:bookmarkStart w:id="1806" w:name="Tc_ntL0abaTEU6zgVl5-KiArw_11_0"/>
      <w:bookmarkStart w:id="1807" w:name="Tc_1ll9W4QQuU2B7-xMXy3haQ_10_4"/>
      <w:bookmarkStart w:id="1808" w:name="Tc__sBd4ZAlnEScX7YrDT5nhg_10_0"/>
      <w:bookmarkStart w:id="1809" w:name="Tc_-Md2TF9uZUGLHsp8wvMIrg_9_0"/>
      <w:bookmarkStart w:id="1810" w:name="Tc_nKIxqhXbP0eJ4WrMtkEutQ_8_0"/>
      <w:bookmarkStart w:id="1811" w:name="Tc_vYDldvyh7k6YBsKxSYofAA_7_0"/>
      <w:bookmarkStart w:id="1812" w:name="Tc_EFiWwHqmGUyFoK_OHtHAbg_6_0"/>
      <w:bookmarkStart w:id="1813" w:name="Tc_H_X34tLT0ECludhxhxytsQ_5_0"/>
      <w:bookmarkStart w:id="1814" w:name="Tc_Q94LYr63nEK0bTf22kF1xQ_4_0"/>
      <w:bookmarkStart w:id="1815" w:name="Tc_p8kBucWtE0OejQjBuV_JbQ_3_4"/>
      <w:bookmarkStart w:id="1816" w:name="Tc_b0lDe1RdDkOyfKObHLjO8Q_3_2"/>
      <w:bookmarkStart w:id="1817" w:name="Tc_xq810XDZPUS1LtQkAvVUrA_2_4"/>
      <w:bookmarkStart w:id="1818" w:name="Tc_CM9PbN_YOUKxaNezb8EHzQ_2_2"/>
      <w:bookmarkStart w:id="1819" w:name="Tc_SJYJ6e4xE0i6snkFZ0Mtrg_1_2"/>
      <w:bookmarkStart w:id="1820" w:name="Tc_UvsxLG92_E2gsUAtu_zRGw_13_0"/>
      <w:bookmarkStart w:id="1821" w:name="Tc_xw0dY7m7okyQ-S0FV7ZZxA_12_0"/>
      <w:bookmarkStart w:id="1822" w:name="Tc_cYkz7XgY8k-otnVSbbX7Iw_11_0"/>
      <w:bookmarkStart w:id="1823" w:name="Tc_bVdZFpZYr0Gv0scA1m5BZA_10_4"/>
      <w:bookmarkStart w:id="1824" w:name="Tc_03ZCdXWndkqLFc_zozYj3w_10_2"/>
      <w:bookmarkStart w:id="1825" w:name="Tc_LsyBYlInlEOUbVAjBERvBQ_10_0"/>
      <w:bookmarkStart w:id="1826" w:name="Tc_YRkTuFB6L0u3wsbcQu4uMA_9_4"/>
      <w:bookmarkStart w:id="1827" w:name="Tc_A-sMFj7dZE-66FDTel6D_w_9_2"/>
      <w:bookmarkStart w:id="1828" w:name="Tc_GaQmt_lofk6IjvZYE2iK6w_9_0"/>
      <w:bookmarkStart w:id="1829" w:name="Tc_Ov0guM53_0SNEGfGEbpqlA_8_0"/>
      <w:bookmarkStart w:id="1830" w:name="Tc_IFKwFYIOzUOFtVGLxHMjOg_7_0"/>
      <w:bookmarkStart w:id="1831" w:name="Tc_hNs2MIKSGkmlgseX-beQDg_6_0"/>
      <w:bookmarkStart w:id="1832" w:name="Tc_QBwamOvqwk62EOgP1gnVQA_5_0"/>
      <w:bookmarkStart w:id="1833" w:name="Tc_B53sdHGL0USJoAsvYgIViw_4_0"/>
      <w:bookmarkStart w:id="1834" w:name="Tc_vIcQBjHZC0OdkBnX7e88rQ_3_6"/>
      <w:bookmarkStart w:id="1835" w:name="Tc_bmqsAd7_f0uS2v2u0jZgtA_3_4"/>
      <w:bookmarkStart w:id="1836" w:name="Tc_6heWCXANSU2r86DYpFIj4g_3_2"/>
      <w:bookmarkStart w:id="1837" w:name="Tc_z7HiTzhvrEmRZJA74whQlg_2_6"/>
      <w:bookmarkStart w:id="1838" w:name="Tc_lWWlldq6kkq68M2fHZFZGw_2_4"/>
      <w:bookmarkStart w:id="1839" w:name="Tc_WSb53Acu-0aYL9zTC4onvw_2_2"/>
      <w:bookmarkStart w:id="1840" w:name="Tc_unXZ9jcSi0u9tGfPpjO6Ag_1_2"/>
      <w:bookmarkStart w:id="1841" w:name="Tc_K-LJ_qxvr0ipdVlMvVlkxg_6_0"/>
      <w:bookmarkStart w:id="1842" w:name="Tc_CWOsczDpskG2PwV-O81UHQ_5_0"/>
      <w:bookmarkStart w:id="1843" w:name="Tc_1j-C9a70yUuqrZtGtMQ4Pw_4_0"/>
      <w:bookmarkStart w:id="1844" w:name="Tc_y9XfYAbsMkWxtSFF7oZ7gw_3_6"/>
      <w:bookmarkStart w:id="1845" w:name="Tc_bC5CyDDcbUmnroAB8fMi2w_3_4"/>
      <w:bookmarkStart w:id="1846" w:name="Tc_fsOxepsdnUyuU7GT7nMH8A_3_2"/>
      <w:bookmarkStart w:id="1847" w:name="Tc_wyL-_8Wv7kuY17R6wb2f9A_2_6"/>
      <w:bookmarkStart w:id="1848" w:name="Tc_Dayu3eMsj0WaBcv16Ior5Q_2_4"/>
      <w:bookmarkStart w:id="1849" w:name="Tc_sMRrPeKTIkWoh5JcMxc-oA_2_2"/>
      <w:bookmarkStart w:id="1850" w:name="Tc_OYbnFc60c0WplkIX0k2GCQ_1_2"/>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r>
        <w:rPr>
          <w:rFonts w:ascii="Times New Roman;Times;serif" w:hAnsi="Times New Roman;Times;serif"/>
          <w:color w:val="231F20"/>
          <w:sz w:val="20"/>
        </w:rPr>
        <w:t>Income tax expense consists of the following:</w:t>
      </w:r>
    </w:p>
    <w:p>
      <w:pPr>
        <w:pStyle w:val="TextBody"/>
        <w:spacing w:before="0" w:after="0"/>
        <w:ind w:left="0" w:right="0" w:hanging="0"/>
        <w:rPr/>
      </w:pPr>
      <w:r>
        <w:rPr/>
        <w:t>​</w:t>
      </w:r>
    </w:p>
    <w:tbl>
      <w:tblPr>
        <w:tblW w:w="6787" w:type="dxa"/>
        <w:jc w:val="left"/>
        <w:tblInd w:w="0" w:type="dxa"/>
        <w:tblCellMar>
          <w:top w:w="0" w:type="dxa"/>
          <w:left w:w="0" w:type="dxa"/>
          <w:bottom w:w="0" w:type="dxa"/>
          <w:right w:w="0" w:type="dxa"/>
        </w:tblCellMar>
      </w:tblPr>
      <w:tblGrid>
        <w:gridCol w:w="3196"/>
        <w:gridCol w:w="326"/>
        <w:gridCol w:w="856"/>
        <w:gridCol w:w="326"/>
        <w:gridCol w:w="856"/>
        <w:gridCol w:w="326"/>
        <w:gridCol w:w="901"/>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29460" cy="175260"/>
                      <wp:effectExtent l="0" t="0" r="0" b="0"/>
                      <wp:wrapNone/>
                      <wp:docPr id="459" name="Frame451"/>
                      <a:graphic xmlns:a="http://schemas.openxmlformats.org/drawingml/2006/main">
                        <a:graphicData uri="http://schemas.microsoft.com/office/word/2010/wordprocessingShape">
                          <wps:wsp>
                            <wps:cNvSpPr txBox="1"/>
                            <wps:spPr>
                              <a:xfrm>
                                <a:off x="0" y="0"/>
                                <a:ext cx="2029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43560" cy="175260"/>
                      <wp:effectExtent l="0" t="0" r="0" b="0"/>
                      <wp:wrapNone/>
                      <wp:docPr id="461" name="Frame453"/>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43560" cy="175260"/>
                      <wp:effectExtent l="0" t="0" r="0" b="0"/>
                      <wp:wrapNone/>
                      <wp:docPr id="463" name="Frame455"/>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72135" cy="175260"/>
                      <wp:effectExtent l="0" t="0" r="0" b="0"/>
                      <wp:wrapNone/>
                      <wp:docPr id="465" name="Frame45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2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1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1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income tax expense</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71,933</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73,613</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74,300</w:t>
            </w:r>
          </w:p>
        </w:tc>
      </w:tr>
      <w:tr>
        <w:trPr/>
        <w:tc>
          <w:tcPr>
            <w:tcW w:w="31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tax (benefit) expense</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(34,331)</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(9,396)</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10,174</w:t>
            </w:r>
          </w:p>
        </w:tc>
      </w:tr>
      <w:tr>
        <w:trPr/>
        <w:tc>
          <w:tcPr>
            <w:tcW w:w="31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37,602</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64,217</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84,474</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actual income tax expenses reported in the consolidated statements of comprehensive income for the years ended December 31, 2020, 2021 and 2022 differ from the amount computed by applying the PRC statutory income tax rate of 25% to income before income taxes due to the following:</w:t>
      </w:r>
    </w:p>
    <w:p>
      <w:pPr>
        <w:pStyle w:val="TextBody"/>
        <w:spacing w:before="0" w:after="0"/>
        <w:ind w:left="0" w:right="0" w:hanging="0"/>
        <w:rPr/>
      </w:pPr>
      <w:r>
        <w:rPr/>
        <w:t>​</w:t>
      </w:r>
    </w:p>
    <w:tbl>
      <w:tblPr>
        <w:tblW w:w="8677" w:type="dxa"/>
        <w:jc w:val="left"/>
        <w:tblInd w:w="0" w:type="dxa"/>
        <w:tblCellMar>
          <w:top w:w="0" w:type="dxa"/>
          <w:left w:w="0" w:type="dxa"/>
          <w:bottom w:w="0" w:type="dxa"/>
          <w:right w:w="0" w:type="dxa"/>
        </w:tblCellMar>
      </w:tblPr>
      <w:tblGrid>
        <w:gridCol w:w="5086"/>
        <w:gridCol w:w="326"/>
        <w:gridCol w:w="856"/>
        <w:gridCol w:w="326"/>
        <w:gridCol w:w="856"/>
        <w:gridCol w:w="326"/>
        <w:gridCol w:w="901"/>
      </w:tblGrid>
      <w:tr>
        <w:trPr/>
        <w:tc>
          <w:tcPr>
            <w:tcW w:w="5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229610" cy="175260"/>
                      <wp:effectExtent l="0" t="0" r="0" b="0"/>
                      <wp:wrapNone/>
                      <wp:docPr id="466" name="Frame458"/>
                      <a:graphic xmlns:a="http://schemas.openxmlformats.org/drawingml/2006/main">
                        <a:graphicData uri="http://schemas.microsoft.com/office/word/2010/wordprocessingShape">
                          <wps:wsp>
                            <wps:cNvSpPr txBox="1"/>
                            <wps:spPr>
                              <a:xfrm>
                                <a:off x="0" y="0"/>
                                <a:ext cx="3229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43560" cy="175260"/>
                      <wp:effectExtent l="0" t="0" r="0" b="0"/>
                      <wp:wrapNone/>
                      <wp:docPr id="468" name="Frame46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43560" cy="175260"/>
                      <wp:effectExtent l="0" t="0" r="0" b="0"/>
                      <wp:wrapNone/>
                      <wp:docPr id="470" name="Frame46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72135" cy="175260"/>
                      <wp:effectExtent l="0" t="0" r="0" b="0"/>
                      <wp:wrapNone/>
                      <wp:docPr id="472" name="Frame46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color w:val="231F20"/>
              </w:rPr>
            </w:pPr>
            <w:r>
              <w:rPr>
                <w:color w:val="231F20"/>
              </w:rPr>
              <w:t>​</w:t>
            </w:r>
          </w:p>
        </w:tc>
        <w:tc>
          <w:tcPr>
            <w:tcW w:w="32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Years ended December 31,</w:t>
            </w:r>
          </w:p>
        </w:tc>
      </w:tr>
      <w:tr>
        <w:trPr/>
        <w:tc>
          <w:tcPr>
            <w:tcW w:w="5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5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75,424</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203,887</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180,556</w:t>
            </w:r>
          </w:p>
        </w:tc>
      </w:tr>
      <w:tr>
        <w:trPr/>
        <w:tc>
          <w:tcPr>
            <w:tcW w:w="5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Computed expected tax expense</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18,856</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50,972</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45,139</w:t>
            </w:r>
          </w:p>
        </w:tc>
      </w:tr>
      <w:tr>
        <w:trPr/>
        <w:tc>
          <w:tcPr>
            <w:tcW w:w="5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 (decrease) in income taxes resulting from:</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5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1,619</w:t>
            </w:r>
          </w:p>
        </w:tc>
      </w:tr>
      <w:tr>
        <w:trPr/>
        <w:tc>
          <w:tcPr>
            <w:tcW w:w="5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deduction for research and development expenses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(1,629)</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(9,922)</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(8,714)</w:t>
            </w:r>
          </w:p>
        </w:tc>
      </w:tr>
      <w:tr>
        <w:trPr/>
        <w:tc>
          <w:tcPr>
            <w:tcW w:w="5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40,798</w:t>
            </w:r>
          </w:p>
        </w:tc>
      </w:tr>
      <w:tr>
        <w:trPr/>
        <w:tc>
          <w:tcPr>
            <w:tcW w:w="5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loss expiration</w:t>
            </w:r>
          </w:p>
        </w:tc>
        <w:tc>
          <w:tcPr>
            <w:tcW w:w="326"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5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17,905</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19,066</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1,085</w:t>
            </w:r>
          </w:p>
        </w:tc>
      </w:tr>
      <w:tr>
        <w:trPr/>
        <w:tc>
          <w:tcPr>
            <w:tcW w:w="5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326" w:type="dxa"/>
            <w:tcBorders/>
            <w:shd w:fill="CCEEFF" w:val="clear"/>
            <w:vAlign w:val="center"/>
          </w:tcPr>
          <w:p>
            <w:pPr>
              <w:pStyle w:val="TableContents"/>
              <w:spacing w:before="0" w:after="1"/>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1,380</w:t>
            </w:r>
          </w:p>
        </w:tc>
        <w:tc>
          <w:tcPr>
            <w:tcW w:w="326" w:type="dxa"/>
            <w:tcBorders/>
            <w:shd w:fill="CCEEFF" w:val="clear"/>
            <w:vAlign w:val="center"/>
          </w:tcPr>
          <w:p>
            <w:pPr>
              <w:pStyle w:val="TableContents"/>
              <w:spacing w:before="0" w:after="1"/>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1,747</w:t>
            </w:r>
          </w:p>
        </w:tc>
      </w:tr>
      <w:tr>
        <w:trPr/>
        <w:tc>
          <w:tcPr>
            <w:tcW w:w="50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37,602</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64,217</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84,474</w:t>
            </w:r>
          </w:p>
        </w:tc>
      </w:tr>
    </w:tbl>
    <w:p>
      <w:pPr>
        <w:pStyle w:val="TextBody"/>
        <w:spacing w:before="0" w:after="0"/>
        <w:ind w:left="0" w:right="0" w:hanging="0"/>
        <w:rPr/>
      </w:pPr>
      <w:r>
        <w:rPr/>
        <w:t>​</w:t>
      </w:r>
    </w:p>
    <w:tbl>
      <w:tblPr>
        <w:tblW w:w="1806" w:type="dxa"/>
        <w:jc w:val="left"/>
        <w:tblInd w:w="0" w:type="dxa"/>
        <w:tblCellMar>
          <w:top w:w="0" w:type="dxa"/>
          <w:left w:w="0" w:type="dxa"/>
          <w:bottom w:w="0" w:type="dxa"/>
          <w:right w:w="0" w:type="dxa"/>
        </w:tblCellMar>
      </w:tblPr>
      <w:tblGrid>
        <w:gridCol w:w="124"/>
        <w:gridCol w:w="331"/>
        <w:gridCol w:w="135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(b)</w:t>
            </w:r>
          </w:p>
        </w:tc>
        <w:tc>
          <w:tcPr>
            <w:tcW w:w="135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Deferred taxes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tax effects of temporary differences that give rise to the deferred tax assets (liabilities) balances as of December 31, 2021 and 2022 are as follows:</w:t>
      </w:r>
    </w:p>
    <w:p>
      <w:pPr>
        <w:pStyle w:val="TextBody"/>
        <w:spacing w:before="0" w:after="0"/>
        <w:ind w:left="0" w:right="0" w:hanging="0"/>
        <w:rPr/>
      </w:pPr>
      <w:r>
        <w:rPr/>
        <w:t>​</w:t>
      </w:r>
    </w:p>
    <w:tbl>
      <w:tblPr>
        <w:tblW w:w="6325" w:type="dxa"/>
        <w:jc w:val="left"/>
        <w:tblInd w:w="0" w:type="dxa"/>
        <w:tblCellMar>
          <w:top w:w="0" w:type="dxa"/>
          <w:left w:w="0" w:type="dxa"/>
          <w:bottom w:w="0" w:type="dxa"/>
          <w:right w:w="0" w:type="dxa"/>
        </w:tblCellMar>
      </w:tblPr>
      <w:tblGrid>
        <w:gridCol w:w="3871"/>
        <w:gridCol w:w="326"/>
        <w:gridCol w:w="856"/>
        <w:gridCol w:w="326"/>
        <w:gridCol w:w="946"/>
      </w:tblGrid>
      <w:tr>
        <w:trPr/>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458085" cy="175260"/>
                      <wp:effectExtent l="0" t="0" r="0" b="0"/>
                      <wp:wrapNone/>
                      <wp:docPr id="473" name="Frame465"/>
                      <a:graphic xmlns:a="http://schemas.openxmlformats.org/drawingml/2006/main">
                        <a:graphicData uri="http://schemas.microsoft.com/office/word/2010/wordprocessingShape">
                          <wps:wsp>
                            <wps:cNvSpPr txBox="1"/>
                            <wps:spPr>
                              <a:xfrm>
                                <a:off x="0" y="0"/>
                                <a:ext cx="2458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43560" cy="175260"/>
                      <wp:effectExtent l="0" t="0" r="0" b="0"/>
                      <wp:wrapNone/>
                      <wp:docPr id="475" name="Frame46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00710" cy="175260"/>
                      <wp:effectExtent l="0" t="0" r="0" b="0"/>
                      <wp:wrapNone/>
                      <wp:docPr id="477" name="Frame46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12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3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 (liabilities)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  </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losses carried forward</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81,376</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77,103</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5,339</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6,523</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payroll and other expenses</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7,972</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8,783</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73,473</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74,816</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Contract costs</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(15,604)</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(16,818)</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rent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6,117</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rental initial direct costs</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(2,939)</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486,083</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(483,000)</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41,438</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33,280</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1,890</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3,203</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gross deferred tax assets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199,062</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189,973</w:t>
            </w:r>
          </w:p>
        </w:tc>
      </w:tr>
      <w:tr>
        <w:trPr/>
        <w:tc>
          <w:tcPr>
            <w:tcW w:w="38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Valuation allowance on deferred tax assets</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(76,355)</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(77,440)</w:t>
            </w:r>
          </w:p>
        </w:tc>
      </w:tr>
      <w:tr>
        <w:trPr/>
        <w:tc>
          <w:tcPr>
            <w:tcW w:w="38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 net of valuation allowance</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122,707</w:t>
            </w:r>
          </w:p>
        </w:tc>
        <w:tc>
          <w:tcPr>
            <w:tcW w:w="326" w:type="dxa"/>
            <w:tcBorders/>
            <w:shd w:fill="CCEEFF" w:val="clear"/>
            <w:vAlign w:val="center"/>
          </w:tcPr>
          <w:p>
            <w:pPr>
              <w:pStyle w:val="TableContents"/>
              <w:spacing w:before="0" w:after="1"/>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112,533</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851" w:name="Tc_uQEl7Y1a_0-II0NHZzouow_7_0"/>
      <w:bookmarkStart w:id="1852" w:name="Tc_h9m0V_-xr0KS23njjNGY3g_6_2"/>
      <w:bookmarkStart w:id="1853" w:name="Tc_hgebOoKyEEOG2Te44-sYKg_6_0"/>
      <w:bookmarkStart w:id="1854" w:name="Tc_1s_LrsTgOkyVkNyP2EgB6Q_5_0"/>
      <w:bookmarkStart w:id="1855" w:name="Tc_s86Yfyki0kaoYY5BlRPWIQ_4_0"/>
      <w:bookmarkStart w:id="1856" w:name="Tc_vIgQ_g0Y8kaK5Mhh0nAmyw_3_4"/>
      <w:bookmarkStart w:id="1857" w:name="Tc_tYRPM3APP0CB0WY2FVwwIw_3_2"/>
      <w:bookmarkStart w:id="1858" w:name="Tc_fU34LL5520KRikT1tOMa-Q_2_4"/>
      <w:bookmarkStart w:id="1859" w:name="Tc_dPEmBzVcvEGlnPv0NucRog_2_2"/>
      <w:bookmarkStart w:id="1860" w:name="Tc_VbPBDzlulkusVpaKTF9YSw_1_2"/>
      <w:bookmarkStart w:id="1861" w:name="Tc_ESRkWbxuh0WEXditlZjj9A_6_0"/>
      <w:bookmarkStart w:id="1862" w:name="Tc_6Z2C5T1Vv02RVrSsIIwDvA_5_4"/>
      <w:bookmarkStart w:id="1863" w:name="Tc_OBNj9h6eXUOmuWBMxJ58eA_5_2"/>
      <w:bookmarkStart w:id="1864" w:name="Tc_Lu11pbEVw0uDi4vqD3Zrrw_5_0"/>
      <w:bookmarkStart w:id="1865" w:name="Tc_bshbPUcV4Emldv6sNmYMEQ_4_0"/>
      <w:bookmarkStart w:id="1866" w:name="Tc_536I6iLHIEmzglKbQG1Niw_3_4"/>
      <w:bookmarkStart w:id="1867" w:name="Tc_nkkoJ83fbU6Eh7HewNXtbw_3_2"/>
      <w:bookmarkStart w:id="1868" w:name="Tc_nAe6UJtiAkOdYn4O1uZq5A_2_4"/>
      <w:bookmarkStart w:id="1869" w:name="Tc_PBoztUeBIEe1o78oEtCTVw_2_2"/>
      <w:bookmarkStart w:id="1870" w:name="Tc_D616XXKKqEOiTi44TaWnDg_1_2"/>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r>
        <w:rPr>
          <w:rFonts w:ascii="Times New Roman;Times;serif" w:hAnsi="Times New Roman;Times;serif"/>
          <w:sz w:val="20"/>
        </w:rPr>
        <w:t>Reported in consolidated balance sheets as:</w:t>
      </w:r>
    </w:p>
    <w:p>
      <w:pPr>
        <w:pStyle w:val="TextBody"/>
        <w:spacing w:before="0" w:after="0"/>
        <w:ind w:left="0" w:right="0" w:hanging="0"/>
        <w:rPr/>
      </w:pPr>
      <w:r>
        <w:rPr/>
        <w:t>​</w:t>
      </w:r>
    </w:p>
    <w:tbl>
      <w:tblPr>
        <w:tblW w:w="4345" w:type="dxa"/>
        <w:jc w:val="left"/>
        <w:tblInd w:w="0" w:type="dxa"/>
        <w:tblCellMar>
          <w:top w:w="0" w:type="dxa"/>
          <w:left w:w="0" w:type="dxa"/>
          <w:bottom w:w="0" w:type="dxa"/>
          <w:right w:w="0" w:type="dxa"/>
        </w:tblCellMar>
      </w:tblPr>
      <w:tblGrid>
        <w:gridCol w:w="1936"/>
        <w:gridCol w:w="326"/>
        <w:gridCol w:w="856"/>
        <w:gridCol w:w="326"/>
        <w:gridCol w:w="901"/>
      </w:tblGrid>
      <w:tr>
        <w:trPr/>
        <w:tc>
          <w:tcPr>
            <w:tcW w:w="1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229360" cy="175260"/>
                      <wp:effectExtent l="0" t="0" r="0" b="0"/>
                      <wp:wrapNone/>
                      <wp:docPr id="478" name="Frame470"/>
                      <a:graphic xmlns:a="http://schemas.openxmlformats.org/drawingml/2006/main">
                        <a:graphicData uri="http://schemas.microsoft.com/office/word/2010/wordprocessingShape">
                          <wps:wsp>
                            <wps:cNvSpPr txBox="1"/>
                            <wps:spPr>
                              <a:xfrm>
                                <a:off x="0" y="0"/>
                                <a:ext cx="1229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43560" cy="175260"/>
                      <wp:effectExtent l="0" t="0" r="0" b="0"/>
                      <wp:wrapNone/>
                      <wp:docPr id="480" name="Frame47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72135" cy="175260"/>
                      <wp:effectExtent l="0" t="0" r="0" b="0"/>
                      <wp:wrapNone/>
                      <wp:docPr id="482" name="Frame47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19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122,707</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112,533</w:t>
            </w:r>
          </w:p>
        </w:tc>
      </w:tr>
      <w:tr>
        <w:trPr/>
        <w:tc>
          <w:tcPr>
            <w:tcW w:w="19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9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122,707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112,533</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has not recognized any deferred tax liability for the undistributed earnings of the PRC-resident enterprise as of December 31 2021 and 2022, as the Company plans to permanently reinvest these earnings in the PRC. Each of the PRC subsidiaries does not have a plan to pay dividends in the foreseeable future and intends to retain any future earnings for use in the operation and expansion of its business in the PRC. As of December 31,2022, the total amount of undistributed earnings from the PRC subsidiaries for which no withholding tax has been accrued was RMB831,088. The unrecognized deferred tax liability would be RMB83,109 subject to the foreign withholding tax rate of 10%.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movement of the valuation allowance is as follows:</w:t>
      </w:r>
    </w:p>
    <w:p>
      <w:pPr>
        <w:pStyle w:val="TextBody"/>
        <w:spacing w:before="0" w:after="0"/>
        <w:ind w:left="0" w:right="0" w:hanging="0"/>
        <w:rPr/>
      </w:pPr>
      <w:r>
        <w:rPr/>
        <w:t>​</w:t>
      </w:r>
    </w:p>
    <w:tbl>
      <w:tblPr>
        <w:tblW w:w="7300" w:type="dxa"/>
        <w:jc w:val="left"/>
        <w:tblInd w:w="0" w:type="dxa"/>
        <w:tblCellMar>
          <w:top w:w="0" w:type="dxa"/>
          <w:left w:w="0" w:type="dxa"/>
          <w:bottom w:w="0" w:type="dxa"/>
          <w:right w:w="0" w:type="dxa"/>
        </w:tblCellMar>
      </w:tblPr>
      <w:tblGrid>
        <w:gridCol w:w="4891"/>
        <w:gridCol w:w="326"/>
        <w:gridCol w:w="856"/>
        <w:gridCol w:w="326"/>
        <w:gridCol w:w="901"/>
      </w:tblGrid>
      <w:tr>
        <w:trPr/>
        <w:tc>
          <w:tcPr>
            <w:tcW w:w="4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3105785" cy="175260"/>
                      <wp:effectExtent l="0" t="0" r="0" b="0"/>
                      <wp:wrapNone/>
                      <wp:docPr id="483" name="Frame475"/>
                      <a:graphic xmlns:a="http://schemas.openxmlformats.org/drawingml/2006/main">
                        <a:graphicData uri="http://schemas.microsoft.com/office/word/2010/wordprocessingShape">
                          <wps:wsp>
                            <wps:cNvSpPr txBox="1"/>
                            <wps:spPr>
                              <a:xfrm>
                                <a:off x="0" y="0"/>
                                <a:ext cx="3105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43560" cy="175260"/>
                      <wp:effectExtent l="0" t="0" r="0" b="0"/>
                      <wp:wrapNone/>
                      <wp:docPr id="485" name="Frame47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72135" cy="175260"/>
                      <wp:effectExtent l="0" t="0" r="0" b="0"/>
                      <wp:wrapNone/>
                      <wp:docPr id="487" name="Frame47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8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4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the beginning of the year</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57,289</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76,355</w:t>
            </w:r>
          </w:p>
        </w:tc>
      </w:tr>
      <w:tr>
        <w:trPr/>
        <w:tc>
          <w:tcPr>
            <w:tcW w:w="4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 during the year</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19,066</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3,885</w:t>
            </w:r>
          </w:p>
        </w:tc>
      </w:tr>
      <w:tr>
        <w:trPr/>
        <w:tc>
          <w:tcPr>
            <w:tcW w:w="48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Reduction as a result of expiry of tax losses carried forward</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48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the end of the year</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76,355</w:t>
            </w:r>
          </w:p>
        </w:tc>
        <w:tc>
          <w:tcPr>
            <w:tcW w:w="326" w:type="dxa"/>
            <w:tcBorders/>
            <w:shd w:fill="auto" w:val="clear"/>
            <w:vAlign w:val="center"/>
          </w:tcPr>
          <w:p>
            <w:pPr>
              <w:pStyle w:val="TableContents"/>
              <w:spacing w:before="0" w:after="1"/>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77,440</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valuation allowance as of December 31, 2021 and 2022 was primarily provided for the deferred tax assets of certain PRC subsidiaries, which were in cumulative loss positions. 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or utilizable. Management considers projected future taxable income and tax planning strategies in making this assessment.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tax losses carry forward of the Group’s PRC subsidiaries amounted to RMB308,412 as of December 31, 2022, of which RMB16,592, RMB39,288, RMB98,814 and RMB90,624, RMB63,094 will expire if unused by December 31, 2023, 2024, 2025, 2026 and 2027 respectively.</w:t>
      </w:r>
    </w:p>
    <w:p>
      <w:pPr>
        <w:pStyle w:val="Normal"/>
        <w:spacing w:before="0" w:after="0"/>
        <w:rPr>
          <w:sz w:val="4"/>
          <w:szCs w:val="4"/>
        </w:rPr>
      </w:pPr>
      <w:r>
        <w:rPr>
          <w:sz w:val="4"/>
          <w:szCs w:val="4"/>
        </w:rPr>
      </w:r>
      <w:bookmarkStart w:id="1871" w:name="Tc_zv9gkvf4ekeS6wD1qhFYuw_10_0"/>
      <w:bookmarkStart w:id="1872" w:name="Tc_difjaqwJYkuWl7QOWqJkYw_9_0"/>
      <w:bookmarkStart w:id="1873" w:name="Tc_VGw1QPMCT0CvF3wHKuhDKQ_8_0"/>
      <w:bookmarkStart w:id="1874" w:name="Tc_IonHYOGyAkOEos0_tWYMOQ_7_0"/>
      <w:bookmarkStart w:id="1875" w:name="Tc_sQ732g_rdEqugEjefZYJWA_6_4"/>
      <w:bookmarkStart w:id="1876" w:name="Tc_7l4Eu9BIcEOLiVy7h5-RGw_6_0"/>
      <w:bookmarkStart w:id="1877" w:name="Tc_81U7nTZxmk2eXcfk8f7Sag_5_0"/>
      <w:bookmarkStart w:id="1878" w:name="Tc_P2zFUQJzWka8Fn0Ftt8o2g_4_0"/>
      <w:bookmarkStart w:id="1879" w:name="Tc_uhEzVKbIfkKwd-PXPaGvfw_3_4"/>
      <w:bookmarkStart w:id="1880" w:name="Tc_kx4TinHoi0GXW2jdnCd2LQ_3_2"/>
      <w:bookmarkStart w:id="1881" w:name="Tc_N-0KaX_7L0yQ3mt_hWy1Gg_2_4"/>
      <w:bookmarkStart w:id="1882" w:name="Tc_LwHndVmN1kOQTKEaJnDobw_2_2"/>
      <w:bookmarkStart w:id="1883" w:name="Tc_Atv7Eopri0uNU8cXJ9IUgQ_1_2"/>
      <w:bookmarkStart w:id="1884" w:name="_2bf71c47_2c5b_4b88_9204_c040a27815d2"/>
      <w:bookmarkStart w:id="1885" w:name="Tc_zv9gkvf4ekeS6wD1qhFYuw_10_0"/>
      <w:bookmarkStart w:id="1886" w:name="Tc_difjaqwJYkuWl7QOWqJkYw_9_0"/>
      <w:bookmarkStart w:id="1887" w:name="Tc_VGw1QPMCT0CvF3wHKuhDKQ_8_0"/>
      <w:bookmarkStart w:id="1888" w:name="Tc_IonHYOGyAkOEos0_tWYMOQ_7_0"/>
      <w:bookmarkStart w:id="1889" w:name="Tc_sQ732g_rdEqugEjefZYJWA_6_4"/>
      <w:bookmarkStart w:id="1890" w:name="Tc_7l4Eu9BIcEOLiVy7h5-RGw_6_0"/>
      <w:bookmarkStart w:id="1891" w:name="Tc_81U7nTZxmk2eXcfk8f7Sag_5_0"/>
      <w:bookmarkStart w:id="1892" w:name="Tc_P2zFUQJzWka8Fn0Ftt8o2g_4_0"/>
      <w:bookmarkStart w:id="1893" w:name="Tc_uhEzVKbIfkKwd-PXPaGvfw_3_4"/>
      <w:bookmarkStart w:id="1894" w:name="Tc_kx4TinHoi0GXW2jdnCd2LQ_3_2"/>
      <w:bookmarkStart w:id="1895" w:name="Tc_N-0KaX_7L0yQ3mt_hWy1Gg_2_4"/>
      <w:bookmarkStart w:id="1896" w:name="Tc_LwHndVmN1kOQTKEaJnDobw_2_2"/>
      <w:bookmarkStart w:id="1897" w:name="Tc_Atv7Eopri0uNU8cXJ9IUgQ_1_2"/>
      <w:bookmarkStart w:id="1898" w:name="_2bf71c47_2c5b_4b88_9204_c040a27815d2"/>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p>
    <w:tbl>
      <w:tblPr>
        <w:tblW w:w="3557" w:type="dxa"/>
        <w:jc w:val="left"/>
        <w:tblInd w:w="0" w:type="dxa"/>
        <w:tblCellMar>
          <w:top w:w="0" w:type="dxa"/>
          <w:left w:w="0" w:type="dxa"/>
          <w:bottom w:w="0" w:type="dxa"/>
          <w:right w:w="0" w:type="dxa"/>
        </w:tblCellMar>
      </w:tblPr>
      <w:tblGrid>
        <w:gridCol w:w="271"/>
        <w:gridCol w:w="3286"/>
      </w:tblGrid>
      <w:tr>
        <w:trPr/>
        <w:tc>
          <w:tcPr>
            <w:tcW w:w="271" w:type="dxa"/>
            <w:tcBorders/>
            <w:shd w:fill="auto" w:val="clear"/>
            <w:vAlign w:val="center"/>
          </w:tcPr>
          <w:p>
            <w:pPr>
              <w:pStyle w:val="TableContents"/>
              <w:spacing w:before="0" w:after="160"/>
              <w:rPr>
                <w:rFonts w:ascii="Times New Roman;Times;serif" w:hAnsi="Times New Roman;Times;serif"/>
                <w:b/>
                <w:sz w:val="20"/>
              </w:rPr>
            </w:pPr>
            <w:r>
              <w:rPr>
                <w:rFonts w:ascii="Times New Roman;Times;serif" w:hAnsi="Times New Roman;Times;serif"/>
                <w:b/>
                <w:sz w:val="20"/>
              </w:rPr>
              <w:t>9.</w:t>
            </w:r>
          </w:p>
        </w:tc>
        <w:tc>
          <w:tcPr>
            <w:tcW w:w="3286" w:type="dxa"/>
            <w:tcBorders/>
            <w:shd w:fill="auto" w:val="clear"/>
            <w:vAlign w:val="center"/>
          </w:tcPr>
          <w:p>
            <w:pPr>
              <w:pStyle w:val="TableContents"/>
              <w:spacing w:before="0" w:after="160"/>
              <w:rPr>
                <w:rFonts w:ascii="Times New Roman;Times;serif" w:hAnsi="Times New Roman;Times;serif"/>
                <w:b/>
                <w:sz w:val="20"/>
              </w:rPr>
            </w:pPr>
            <w:r>
              <w:rPr>
                <w:rFonts w:ascii="Times New Roman;Times;serif" w:hAnsi="Times New Roman;Times;serif"/>
                <w:b/>
                <w:sz w:val="20"/>
              </w:rPr>
              <w:t>Accrued expenses and other payables</w:t>
            </w:r>
          </w:p>
        </w:tc>
      </w:tr>
    </w:tbl>
    <w:p>
      <w:pPr>
        <w:pStyle w:val="TextBody"/>
        <w:spacing w:before="0" w:after="160"/>
        <w:ind w:left="0" w:right="0" w:firstLine="360"/>
        <w:rPr>
          <w:rFonts w:ascii="Times New Roman;Times;serif" w:hAnsi="Times New Roman;Times;serif"/>
          <w:sz w:val="20"/>
        </w:rPr>
      </w:pPr>
      <w:r>
        <w:rPr>
          <w:rFonts w:ascii="Times New Roman;Times;serif" w:hAnsi="Times New Roman;Times;serif"/>
          <w:sz w:val="20"/>
        </w:rPr>
        <w:t>Accrued expenses and other payables consist of the following:</w:t>
      </w:r>
    </w:p>
    <w:p>
      <w:pPr>
        <w:pStyle w:val="TextBody"/>
        <w:spacing w:before="0" w:after="0"/>
        <w:ind w:left="0" w:right="0" w:hanging="0"/>
        <w:rPr/>
      </w:pPr>
      <w:r>
        <w:rPr/>
        <w:t>​</w:t>
      </w:r>
    </w:p>
    <w:tbl>
      <w:tblPr>
        <w:tblW w:w="6565" w:type="dxa"/>
        <w:jc w:val="left"/>
        <w:tblInd w:w="0" w:type="dxa"/>
        <w:tblCellMar>
          <w:top w:w="0" w:type="dxa"/>
          <w:left w:w="0" w:type="dxa"/>
          <w:bottom w:w="0" w:type="dxa"/>
          <w:right w:w="0" w:type="dxa"/>
        </w:tblCellMar>
      </w:tblPr>
      <w:tblGrid>
        <w:gridCol w:w="4336"/>
        <w:gridCol w:w="326"/>
        <w:gridCol w:w="856"/>
        <w:gridCol w:w="146"/>
        <w:gridCol w:w="901"/>
      </w:tblGrid>
      <w:tr>
        <w:trPr/>
        <w:tc>
          <w:tcPr>
            <w:tcW w:w="4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753360" cy="175260"/>
                      <wp:effectExtent l="0" t="0" r="0" b="0"/>
                      <wp:wrapNone/>
                      <wp:docPr id="488" name="Frame480"/>
                      <a:graphic xmlns:a="http://schemas.openxmlformats.org/drawingml/2006/main">
                        <a:graphicData uri="http://schemas.microsoft.com/office/word/2010/wordprocessingShape">
                          <wps:wsp>
                            <wps:cNvSpPr txBox="1"/>
                            <wps:spPr>
                              <a:xfrm>
                                <a:off x="0" y="0"/>
                                <a:ext cx="2753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43560" cy="175260"/>
                      <wp:effectExtent l="0" t="0" r="0" b="0"/>
                      <wp:wrapNone/>
                      <wp:docPr id="490" name="Frame48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92710" cy="175260"/>
                      <wp:effectExtent l="0" t="0" r="0" b="0"/>
                      <wp:wrapNone/>
                      <wp:docPr id="491" name="Frame48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72135" cy="175260"/>
                      <wp:effectExtent l="0" t="0" r="0" b="0"/>
                      <wp:wrapNone/>
                      <wp:docPr id="492" name="Frame48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9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14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Deposits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46,961</w:t>
            </w:r>
          </w:p>
        </w:tc>
        <w:tc>
          <w:tcPr>
            <w:tcW w:w="14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53,203</w:t>
            </w:r>
          </w:p>
        </w:tc>
      </w:tr>
      <w:tr>
        <w:trPr/>
        <w:tc>
          <w:tcPr>
            <w:tcW w:w="433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Payments received on behalf of manachised hotels</w:t>
            </w:r>
            <w:r>
              <w:rPr>
                <w:rFonts w:ascii="Times New Roman;Times;serif" w:hAnsi="Times New Roman;Times;serif"/>
                <w:sz w:val="15"/>
              </w:rPr>
              <w:t>(i)</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287,516</w:t>
            </w:r>
          </w:p>
        </w:tc>
        <w:tc>
          <w:tcPr>
            <w:tcW w:w="14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199,395</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rent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6,483</w:t>
            </w:r>
          </w:p>
        </w:tc>
        <w:tc>
          <w:tcPr>
            <w:tcW w:w="14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VAT and other taxes payable.</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22,120</w:t>
            </w:r>
          </w:p>
        </w:tc>
        <w:tc>
          <w:tcPr>
            <w:tcW w:w="14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19,871</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Payable for purchase of property and equipment</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38,357</w:t>
            </w:r>
          </w:p>
        </w:tc>
        <w:tc>
          <w:tcPr>
            <w:tcW w:w="14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12,617</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45,943</w:t>
            </w:r>
          </w:p>
        </w:tc>
        <w:tc>
          <w:tcPr>
            <w:tcW w:w="14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45,196</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447,380</w:t>
            </w:r>
          </w:p>
        </w:tc>
        <w:tc>
          <w:tcPr>
            <w:tcW w:w="14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330,282</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(i)</w:t>
            </w:r>
          </w:p>
        </w:tc>
        <w:tc>
          <w:tcPr>
            <w:tcW w:w="9930"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The amount represents the payments collected or to be collected from customers or travel agencies on behalf of the franchisees for the reservation of manachised hotels.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899" w:name="Tc_a-3o3Xn7hUa2XYore5y7rA_8_0"/>
      <w:bookmarkStart w:id="1900" w:name="Tc_YxbyePHoiEKdd6iH4mJuag_7_0"/>
      <w:bookmarkStart w:id="1901" w:name="Tc_fdSfVv-QE0mm1kRCUSqxYQ_6_0"/>
      <w:bookmarkStart w:id="1902" w:name="Tc_D1UpSSnHyU2fwE3v_8ztvQ_5_0"/>
      <w:bookmarkStart w:id="1903" w:name="Tc_fo150mMYbESWUG_bZAh9FA_4_2"/>
      <w:bookmarkStart w:id="1904" w:name="Tc_-EbulEVJF0Cot2XxAZ6FiA_4_0"/>
      <w:bookmarkStart w:id="1905" w:name="Tc_tq43QmbuNkqBwXwBIuYdcw_3_0"/>
      <w:bookmarkStart w:id="1906" w:name="Tc_Hrtpqq1AmEm6cn0-keYipQ_2_0"/>
      <w:bookmarkStart w:id="1907" w:name="Tc_SKWA4igxbkuyRkc4cryexw_1_2"/>
      <w:bookmarkStart w:id="1908" w:name="Tc_sCNOIpsD2kqyVkfVCc7awg_14_0"/>
      <w:bookmarkStart w:id="1909" w:name="Tc_4F6-5N8uyUSn3jLkTYVa0Q_13_0"/>
      <w:bookmarkStart w:id="1910" w:name="Tc_6QNcXXv4p0e6zi0f7o0jgA_12_4"/>
      <w:bookmarkStart w:id="1911" w:name="Tc_tnu7VmlW-0K9e04qZ2x9EQ_12_0"/>
      <w:bookmarkStart w:id="1912" w:name="Tc_fzhJnQaiZ0OcAhwJx-IHDQ_11_0"/>
      <w:bookmarkStart w:id="1913" w:name="Tc_pb2lwVMwqUK4tE6fEyrRRQ_10_0"/>
      <w:bookmarkStart w:id="1914" w:name="Tc_CTRG_RbDdU2Lk4R72heGoQ_9_0"/>
      <w:bookmarkStart w:id="1915" w:name="Tc_u0Qd8xIsGEWUPR1fEnHOyg_8_0"/>
      <w:bookmarkStart w:id="1916" w:name="Tc_wiNCiubZHUOIc1OA7F6Xsw_7_0"/>
      <w:bookmarkStart w:id="1917" w:name="Tc_OezTKwwScUOYCXJYjZAoHA_6_0"/>
      <w:bookmarkStart w:id="1918" w:name="Tc_2JXY5N2740OAZ5XQS0i91w_5_0"/>
      <w:bookmarkStart w:id="1919" w:name="Tc_rOyEb0GQQkucIfRz2aLKHQ_4_0"/>
      <w:bookmarkStart w:id="1920" w:name="Tc_ZmoVEIDSgUa541YPYYudFw_3_4"/>
      <w:bookmarkStart w:id="1921" w:name="Tc_1dJmTW1XfUuZqXaiYvOTgg_3_2"/>
      <w:bookmarkStart w:id="1922" w:name="Tc_Dm7HVLCfskSifaNhptnTFg_2_4"/>
      <w:bookmarkStart w:id="1923" w:name="Tc_C_2NqZby0k-HRx2D3_gNdg_2_2"/>
      <w:bookmarkStart w:id="1924" w:name="Tc_5l2RxFMtHkim6wQImZiAmw_1_2"/>
      <w:bookmarkStart w:id="1925" w:name="_c2b5e381_ea1f_4bbf_96ee_6e09390c9d00"/>
      <w:bookmarkStart w:id="1926" w:name="Tc_a-3o3Xn7hUa2XYore5y7rA_8_0"/>
      <w:bookmarkStart w:id="1927" w:name="Tc_YxbyePHoiEKdd6iH4mJuag_7_0"/>
      <w:bookmarkStart w:id="1928" w:name="Tc_fdSfVv-QE0mm1kRCUSqxYQ_6_0"/>
      <w:bookmarkStart w:id="1929" w:name="Tc_D1UpSSnHyU2fwE3v_8ztvQ_5_0"/>
      <w:bookmarkStart w:id="1930" w:name="Tc_fo150mMYbESWUG_bZAh9FA_4_2"/>
      <w:bookmarkStart w:id="1931" w:name="Tc_-EbulEVJF0Cot2XxAZ6FiA_4_0"/>
      <w:bookmarkStart w:id="1932" w:name="Tc_tq43QmbuNkqBwXwBIuYdcw_3_0"/>
      <w:bookmarkStart w:id="1933" w:name="Tc_Hrtpqq1AmEm6cn0-keYipQ_2_0"/>
      <w:bookmarkStart w:id="1934" w:name="Tc_SKWA4igxbkuyRkc4cryexw_1_2"/>
      <w:bookmarkStart w:id="1935" w:name="Tc_sCNOIpsD2kqyVkfVCc7awg_14_0"/>
      <w:bookmarkStart w:id="1936" w:name="Tc_4F6-5N8uyUSn3jLkTYVa0Q_13_0"/>
      <w:bookmarkStart w:id="1937" w:name="Tc_6QNcXXv4p0e6zi0f7o0jgA_12_4"/>
      <w:bookmarkStart w:id="1938" w:name="Tc_tnu7VmlW-0K9e04qZ2x9EQ_12_0"/>
      <w:bookmarkStart w:id="1939" w:name="Tc_fzhJnQaiZ0OcAhwJx-IHDQ_11_0"/>
      <w:bookmarkStart w:id="1940" w:name="Tc_pb2lwVMwqUK4tE6fEyrRRQ_10_0"/>
      <w:bookmarkStart w:id="1941" w:name="Tc_CTRG_RbDdU2Lk4R72heGoQ_9_0"/>
      <w:bookmarkStart w:id="1942" w:name="Tc_u0Qd8xIsGEWUPR1fEnHOyg_8_0"/>
      <w:bookmarkStart w:id="1943" w:name="Tc_wiNCiubZHUOIc1OA7F6Xsw_7_0"/>
      <w:bookmarkStart w:id="1944" w:name="Tc_OezTKwwScUOYCXJYjZAoHA_6_0"/>
      <w:bookmarkStart w:id="1945" w:name="Tc_2JXY5N2740OAZ5XQS0i91w_5_0"/>
      <w:bookmarkStart w:id="1946" w:name="Tc_rOyEb0GQQkucIfRz2aLKHQ_4_0"/>
      <w:bookmarkStart w:id="1947" w:name="Tc_ZmoVEIDSgUa541YPYYudFw_3_4"/>
      <w:bookmarkStart w:id="1948" w:name="Tc_1dJmTW1XfUuZqXaiYvOTgg_3_2"/>
      <w:bookmarkStart w:id="1949" w:name="Tc_Dm7HVLCfskSifaNhptnTFg_2_4"/>
      <w:bookmarkStart w:id="1950" w:name="Tc_C_2NqZby0k-HRx2D3_gNdg_2_2"/>
      <w:bookmarkStart w:id="1951" w:name="Tc_5l2RxFMtHkim6wQImZiAmw_1_2"/>
      <w:bookmarkStart w:id="1952" w:name="_c2b5e381_ea1f_4bbf_96ee_6e09390c9d00"/>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p>
    <w:tbl>
      <w:tblPr>
        <w:tblW w:w="1532" w:type="dxa"/>
        <w:jc w:val="left"/>
        <w:tblInd w:w="0" w:type="dxa"/>
        <w:tblCellMar>
          <w:top w:w="0" w:type="dxa"/>
          <w:left w:w="0" w:type="dxa"/>
          <w:bottom w:w="0" w:type="dxa"/>
          <w:right w:w="0" w:type="dxa"/>
        </w:tblCellMar>
      </w:tblPr>
      <w:tblGrid>
        <w:gridCol w:w="376"/>
        <w:gridCol w:w="1156"/>
      </w:tblGrid>
      <w:tr>
        <w:trPr/>
        <w:tc>
          <w:tcPr>
            <w:tcW w:w="376" w:type="dxa"/>
            <w:tcBorders/>
            <w:shd w:fill="auto" w:val="clear"/>
            <w:vAlign w:val="center"/>
          </w:tcPr>
          <w:p>
            <w:pPr>
              <w:pStyle w:val="TableContents"/>
              <w:spacing w:before="0" w:after="160"/>
              <w:rPr>
                <w:rFonts w:ascii="Times New Roman;Times;serif" w:hAnsi="Times New Roman;Times;serif"/>
                <w:b/>
                <w:color w:val="231F20"/>
                <w:sz w:val="20"/>
              </w:rPr>
            </w:pPr>
            <w:r>
              <w:rPr>
                <w:rFonts w:ascii="Times New Roman;Times;serif" w:hAnsi="Times New Roman;Times;serif"/>
                <w:b/>
                <w:color w:val="231F20"/>
                <w:sz w:val="20"/>
              </w:rPr>
              <w:t>10.</w:t>
            </w:r>
          </w:p>
        </w:tc>
        <w:tc>
          <w:tcPr>
            <w:tcW w:w="1156" w:type="dxa"/>
            <w:tcBorders/>
            <w:shd w:fill="auto" w:val="clear"/>
            <w:vAlign w:val="center"/>
          </w:tcPr>
          <w:p>
            <w:pPr>
              <w:pStyle w:val="TableContents"/>
              <w:spacing w:before="0" w:after="160"/>
              <w:rPr>
                <w:rFonts w:ascii="Times New Roman;Times;serif" w:hAnsi="Times New Roman;Times;serif"/>
                <w:b/>
                <w:color w:val="231F20"/>
                <w:sz w:val="20"/>
              </w:rPr>
            </w:pPr>
            <w:r>
              <w:rPr>
                <w:rFonts w:ascii="Times New Roman;Times;serif" w:hAnsi="Times New Roman;Times;serif"/>
                <w:b/>
                <w:color w:val="231F20"/>
                <w:sz w:val="20"/>
              </w:rPr>
              <w:t>Borrowings</w:t>
            </w:r>
          </w:p>
        </w:tc>
      </w:tr>
    </w:tbl>
    <w:p>
      <w:pPr>
        <w:pStyle w:val="TextBody"/>
        <w:spacing w:before="0" w:after="160"/>
        <w:ind w:left="0" w:right="0" w:firstLine="360"/>
        <w:rPr>
          <w:rFonts w:ascii="Times New Roman;Times;serif" w:hAnsi="Times New Roman;Times;serif"/>
          <w:sz w:val="20"/>
        </w:rPr>
      </w:pPr>
      <w:r>
        <w:rPr>
          <w:rFonts w:ascii="Times New Roman;Times;serif" w:hAnsi="Times New Roman;Times;serif"/>
          <w:sz w:val="20"/>
        </w:rPr>
        <w:t>Borrowings consist of the following:</w:t>
      </w:r>
    </w:p>
    <w:p>
      <w:pPr>
        <w:pStyle w:val="TextBody"/>
        <w:spacing w:before="0" w:after="0"/>
        <w:ind w:left="0" w:right="0" w:hanging="0"/>
        <w:rPr/>
      </w:pPr>
      <w:r>
        <w:rPr/>
        <w:t>​</w:t>
      </w:r>
    </w:p>
    <w:tbl>
      <w:tblPr>
        <w:tblW w:w="5905" w:type="dxa"/>
        <w:jc w:val="left"/>
        <w:tblInd w:w="0" w:type="dxa"/>
        <w:tblCellMar>
          <w:top w:w="0" w:type="dxa"/>
          <w:left w:w="0" w:type="dxa"/>
          <w:bottom w:w="0" w:type="dxa"/>
          <w:right w:w="0" w:type="dxa"/>
        </w:tblCellMar>
      </w:tblPr>
      <w:tblGrid>
        <w:gridCol w:w="3676"/>
        <w:gridCol w:w="326"/>
        <w:gridCol w:w="856"/>
        <w:gridCol w:w="146"/>
        <w:gridCol w:w="901"/>
      </w:tblGrid>
      <w:tr>
        <w:trPr/>
        <w:tc>
          <w:tcPr>
            <w:tcW w:w="3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334260" cy="175260"/>
                      <wp:effectExtent l="0" t="0" r="0" b="0"/>
                      <wp:wrapNone/>
                      <wp:docPr id="493" name="Frame485"/>
                      <a:graphic xmlns:a="http://schemas.openxmlformats.org/drawingml/2006/main">
                        <a:graphicData uri="http://schemas.microsoft.com/office/word/2010/wordprocessingShape">
                          <wps:wsp>
                            <wps:cNvSpPr txBox="1"/>
                            <wps:spPr>
                              <a:xfrm>
                                <a:off x="0" y="0"/>
                                <a:ext cx="2334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43560" cy="175260"/>
                      <wp:effectExtent l="0" t="0" r="0" b="0"/>
                      <wp:wrapNone/>
                      <wp:docPr id="495" name="Frame48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92710" cy="175260"/>
                      <wp:effectExtent l="0" t="0" r="0" b="0"/>
                      <wp:wrapNone/>
                      <wp:docPr id="496" name="Frame48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72135" cy="175260"/>
                      <wp:effectExtent l="0" t="0" r="0" b="0"/>
                      <wp:wrapNone/>
                      <wp:docPr id="497" name="Frame48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9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146" w:type="dxa"/>
            <w:tcBorders/>
            <w:shd w:fill="auto" w:val="clear"/>
            <w:vAlign w:val="center"/>
          </w:tcPr>
          <w:p>
            <w:pPr>
              <w:pStyle w:val="TableContents"/>
              <w:spacing w:before="0" w:after="1"/>
              <w:ind w:left="0" w:right="0" w:hanging="0"/>
              <w:jc w:val="center"/>
              <w:rPr/>
            </w:pPr>
            <w:r>
              <w:rPr/>
              <w:t> </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borrowings: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367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Bank loans</w:t>
            </w:r>
            <w:r>
              <w:rPr>
                <w:rFonts w:ascii="Times New Roman;Times;serif" w:hAnsi="Times New Roman;Times;serif"/>
                <w:sz w:val="15"/>
              </w:rPr>
              <w:t>(i)</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62,000</w:t>
            </w:r>
          </w:p>
        </w:tc>
        <w:tc>
          <w:tcPr>
            <w:tcW w:w="14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141,000</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 from third parties</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c>
          <w:tcPr>
            <w:tcW w:w="146" w:type="dxa"/>
            <w:tcBorders/>
            <w:shd w:fill="CCEEFF" w:val="cle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1,828</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64,808</w:t>
            </w:r>
          </w:p>
        </w:tc>
        <w:tc>
          <w:tcPr>
            <w:tcW w:w="146" w:type="dxa"/>
            <w:tcBorders/>
            <w:shd w:fill="auto" w:val="clear"/>
            <w:vAlign w:val="center"/>
          </w:tcPr>
          <w:p>
            <w:pPr>
              <w:pStyle w:val="TableContents"/>
              <w:spacing w:before="0" w:after="1"/>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142,828</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14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367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Bank loans</w:t>
            </w:r>
            <w:r>
              <w:rPr>
                <w:rFonts w:ascii="Times New Roman;Times;serif" w:hAnsi="Times New Roman;Times;serif"/>
                <w:sz w:val="15"/>
              </w:rPr>
              <w:t>(i)</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29,130</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29,130</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borrowings, non-current portion:</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r>
      <w:tr>
        <w:trPr/>
        <w:tc>
          <w:tcPr>
            <w:tcW w:w="367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Bank loans</w:t>
            </w:r>
            <w:r>
              <w:rPr>
                <w:rFonts w:ascii="Times New Roman;Times;serif" w:hAnsi="Times New Roman;Times;serif"/>
                <w:sz w:val="15"/>
              </w:rPr>
              <w:t>(i)</w:t>
            </w:r>
          </w:p>
        </w:tc>
        <w:tc>
          <w:tcPr>
            <w:tcW w:w="326"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41,630</w:t>
            </w:r>
          </w:p>
        </w:tc>
        <w:tc>
          <w:tcPr>
            <w:tcW w:w="14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 from third parties</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146" w:type="dxa"/>
            <w:tcBorders/>
            <w:shd w:fill="auto" w:val="cle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43,630</w:t>
            </w:r>
          </w:p>
        </w:tc>
        <w:tc>
          <w:tcPr>
            <w:tcW w:w="146" w:type="dxa"/>
            <w:tcBorders/>
            <w:shd w:fill="CCEEFF" w:val="clear"/>
            <w:vAlign w:val="center"/>
          </w:tcPr>
          <w:p>
            <w:pPr>
              <w:pStyle w:val="TableContents"/>
              <w:spacing w:before="0" w:after="1"/>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2,000</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(i)</w:t>
            </w:r>
          </w:p>
        </w:tc>
        <w:tc>
          <w:tcPr>
            <w:tcW w:w="996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color w:val="231F20"/>
                <w:sz w:val="16"/>
              </w:rPr>
              <w:t>As of December 31, 2022, the Group had several credit facilities with third party banks under which the Group can borrow up to RMB400,000</w:t>
            </w:r>
            <w:r>
              <w:rPr>
                <w:caps w:val="false"/>
                <w:smallCaps w:val="false"/>
                <w:color w:val="231F20"/>
              </w:rPr>
              <w:t xml:space="preserve"> </w:t>
            </w:r>
            <w:r>
              <w:rPr>
                <w:rFonts w:ascii="Times New Roman;Times;serif" w:hAnsi="Times New Roman;Times;serif"/>
                <w:b w:val="false"/>
                <w:i w:val="false"/>
                <w:caps w:val="false"/>
                <w:smallCaps w:val="false"/>
                <w:color w:val="231F20"/>
                <w:sz w:val="16"/>
              </w:rPr>
              <w:t>during the term of the facilities mature from June 2023 to September 2023. The drawdown of the credit facilities is subject to the terms and conditions of each agreement. Certain credit facilities also require the Group to comply with various covenants and other restrictions, including but not limited to the sum of interest bearing borrowings and bills payable (if applicable) lower than RMB300,000</w:t>
            </w:r>
            <w:r>
              <w:rPr>
                <w:caps w:val="false"/>
                <w:smallCaps w:val="false"/>
                <w:color w:val="231F20"/>
              </w:rPr>
              <w:t xml:space="preserve"> </w:t>
            </w:r>
            <w:r>
              <w:rPr>
                <w:rFonts w:ascii="Times New Roman;Times;serif" w:hAnsi="Times New Roman;Times;serif"/>
                <w:b w:val="false"/>
                <w:i w:val="false"/>
                <w:caps w:val="false"/>
                <w:smallCaps w:val="false"/>
                <w:color w:val="231F20"/>
                <w:sz w:val="16"/>
              </w:rPr>
              <w:t>if the Company’s revenues are less than RMB2,500,000. As of December 31, 2022, the unutilized credit facilities was RMB279</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and the Group was in compliance with the financial covenants.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weighted average interest rates of short-term borrowings and long-term borrowings as of December 31, 2022 were 3.7% (December 31, 2021: 4.1%) and 4.9% (December 31, 2021: 4.6%) per annum,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aggregate maturities of the above long-term borrowings for each for the five years and thereafter subsequent to December 31, 2022 are as follows:</w:t>
      </w:r>
    </w:p>
    <w:p>
      <w:pPr>
        <w:pStyle w:val="TextBody"/>
        <w:spacing w:before="0" w:after="0"/>
        <w:ind w:left="0" w:right="0" w:hanging="0"/>
        <w:rPr/>
      </w:pPr>
      <w:r>
        <w:rPr/>
        <w:t>​</w:t>
      </w:r>
    </w:p>
    <w:tbl>
      <w:tblPr>
        <w:tblW w:w="4078" w:type="dxa"/>
        <w:jc w:val="left"/>
        <w:tblInd w:w="0" w:type="dxa"/>
        <w:tblCellMar>
          <w:top w:w="0" w:type="dxa"/>
          <w:left w:w="0" w:type="dxa"/>
          <w:bottom w:w="0" w:type="dxa"/>
          <w:right w:w="0" w:type="dxa"/>
        </w:tblCellMar>
      </w:tblPr>
      <w:tblGrid>
        <w:gridCol w:w="2851"/>
        <w:gridCol w:w="326"/>
        <w:gridCol w:w="901"/>
      </w:tblGrid>
      <w:tr>
        <w:trPr/>
        <w:tc>
          <w:tcPr>
            <w:tcW w:w="2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810385" cy="175260"/>
                      <wp:effectExtent l="0" t="0" r="0" b="0"/>
                      <wp:wrapNone/>
                      <wp:docPr id="498" name="Frame490"/>
                      <a:graphic xmlns:a="http://schemas.openxmlformats.org/drawingml/2006/main">
                        <a:graphicData uri="http://schemas.microsoft.com/office/word/2010/wordprocessingShape">
                          <wps:wsp>
                            <wps:cNvSpPr txBox="1"/>
                            <wps:spPr>
                              <a:xfrm>
                                <a:off x="0" y="0"/>
                                <a:ext cx="181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72135" cy="175260"/>
                      <wp:effectExtent l="0" t="0" r="0" b="0"/>
                      <wp:wrapNone/>
                      <wp:docPr id="500" name="Frame49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For the year ending December 31,</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color w:val="231F20"/>
              </w:rPr>
            </w:pPr>
            <w:r>
              <w:rPr>
                <w:color w:val="231F20"/>
              </w:rPr>
              <w:t>​</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29,130</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color w:val="231F20"/>
              </w:rPr>
            </w:pPr>
            <w:r>
              <w:rPr>
                <w:color w:val="231F20"/>
              </w:rPr>
              <w:t>—</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500</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2026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2027 and thereafter </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1,300</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31,130</w:t>
            </w:r>
          </w:p>
        </w:tc>
      </w:tr>
    </w:tbl>
    <w:p>
      <w:pPr>
        <w:pStyle w:val="TextBody"/>
        <w:spacing w:before="0" w:after="0"/>
        <w:ind w:left="0" w:right="0" w:hanging="0"/>
        <w:rPr/>
      </w:pPr>
      <w:r>
        <w:rPr/>
        <w:t>​</w:t>
      </w:r>
    </w:p>
    <w:p>
      <w:pPr>
        <w:pStyle w:val="TextBody"/>
        <w:spacing w:before="0" w:after="240"/>
        <w:ind w:left="0" w:right="0" w:hanging="0"/>
        <w:rPr/>
      </w:pPr>
      <w:r>
        <w:rPr/>
        <w:t>​</w:t>
      </w:r>
    </w:p>
    <w:p>
      <w:pPr>
        <w:pStyle w:val="Normal"/>
        <w:spacing w:before="0" w:after="0"/>
        <w:rPr>
          <w:sz w:val="4"/>
          <w:szCs w:val="4"/>
        </w:rPr>
      </w:pPr>
      <w:r>
        <w:rPr>
          <w:sz w:val="4"/>
          <w:szCs w:val="4"/>
        </w:rPr>
      </w:r>
      <w:bookmarkStart w:id="1953" w:name="Tc_PIdSTsO58kuItymLpFfgVg_8_0"/>
      <w:bookmarkStart w:id="1954" w:name="Tc_ejYPxad7SkOMLP2QZTCdVA_7_0"/>
      <w:bookmarkStart w:id="1955" w:name="Tc_U0qIxDA650yZPHjsC4MO1Q_6_0"/>
      <w:bookmarkStart w:id="1956" w:name="Tc_Rocup_5cxEOVGJItx6-tSw_5_4"/>
      <w:bookmarkStart w:id="1957" w:name="Tc_FSFgwUzcXEiU1nIAfnz17Q_5_0"/>
      <w:bookmarkStart w:id="1958" w:name="Tc_3w8jVUG25UaqD1aUwVrIyA_4_0"/>
      <w:bookmarkStart w:id="1959" w:name="Tc_hxn9TDbJ60SbjRd0Fl1YDQ_3_4"/>
      <w:bookmarkStart w:id="1960" w:name="Tc_yRrFswNdCUy68CAP_Hw7uA_3_2"/>
      <w:bookmarkStart w:id="1961" w:name="Tc_mB65bS3E5UOMcNVipPu3Yg_2_4"/>
      <w:bookmarkStart w:id="1962" w:name="Tc_n3dw3_dI8EGmJho1PLzT3g_2_2"/>
      <w:bookmarkStart w:id="1963" w:name="Tc_Tkj76FHw8keeAJnYTrsgiA_1_2"/>
      <w:bookmarkStart w:id="1964" w:name="Tc_PIdSTsO58kuItymLpFfgVg_8_0"/>
      <w:bookmarkStart w:id="1965" w:name="Tc_ejYPxad7SkOMLP2QZTCdVA_7_0"/>
      <w:bookmarkStart w:id="1966" w:name="Tc_U0qIxDA650yZPHjsC4MO1Q_6_0"/>
      <w:bookmarkStart w:id="1967" w:name="Tc_Rocup_5cxEOVGJItx6-tSw_5_4"/>
      <w:bookmarkStart w:id="1968" w:name="Tc_FSFgwUzcXEiU1nIAfnz17Q_5_0"/>
      <w:bookmarkStart w:id="1969" w:name="Tc_3w8jVUG25UaqD1aUwVrIyA_4_0"/>
      <w:bookmarkStart w:id="1970" w:name="Tc_hxn9TDbJ60SbjRd0Fl1YDQ_3_4"/>
      <w:bookmarkStart w:id="1971" w:name="Tc_yRrFswNdCUy68CAP_Hw7uA_3_2"/>
      <w:bookmarkStart w:id="1972" w:name="Tc_mB65bS3E5UOMcNVipPu3Yg_2_4"/>
      <w:bookmarkStart w:id="1973" w:name="Tc_n3dw3_dI8EGmJho1PLzT3g_2_2"/>
      <w:bookmarkStart w:id="1974" w:name="Tc_Tkj76FHw8keeAJnYTrsgiA_1_2"/>
      <w:bookmarkEnd w:id="1964"/>
      <w:bookmarkEnd w:id="1965"/>
      <w:bookmarkEnd w:id="1966"/>
      <w:bookmarkEnd w:id="1967"/>
      <w:bookmarkEnd w:id="1968"/>
      <w:bookmarkEnd w:id="1969"/>
      <w:bookmarkEnd w:id="1970"/>
      <w:bookmarkEnd w:id="1971"/>
      <w:bookmarkEnd w:id="1972"/>
      <w:bookmarkEnd w:id="1973"/>
      <w:bookmarkEnd w:id="1974"/>
    </w:p>
    <w:tbl>
      <w:tblPr>
        <w:tblW w:w="2912" w:type="dxa"/>
        <w:jc w:val="left"/>
        <w:tblInd w:w="0" w:type="dxa"/>
        <w:tblCellMar>
          <w:top w:w="0" w:type="dxa"/>
          <w:left w:w="0" w:type="dxa"/>
          <w:bottom w:w="0" w:type="dxa"/>
          <w:right w:w="0" w:type="dxa"/>
        </w:tblCellMar>
      </w:tblPr>
      <w:tblGrid>
        <w:gridCol w:w="376"/>
        <w:gridCol w:w="253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11.</w:t>
            </w:r>
          </w:p>
        </w:tc>
        <w:tc>
          <w:tcPr>
            <w:tcW w:w="253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Other non-current liabilities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non-current liabilities consist of the following:</w:t>
      </w:r>
    </w:p>
    <w:p>
      <w:pPr>
        <w:pStyle w:val="TextBody"/>
        <w:spacing w:before="0" w:after="0"/>
        <w:ind w:left="0" w:right="0" w:hanging="0"/>
        <w:rPr/>
      </w:pPr>
      <w:r>
        <w:rPr/>
        <w:t>​</w:t>
      </w:r>
    </w:p>
    <w:tbl>
      <w:tblPr>
        <w:tblW w:w="5560" w:type="dxa"/>
        <w:jc w:val="left"/>
        <w:tblInd w:w="0" w:type="dxa"/>
        <w:tblCellMar>
          <w:top w:w="0" w:type="dxa"/>
          <w:left w:w="0" w:type="dxa"/>
          <w:bottom w:w="0" w:type="dxa"/>
          <w:right w:w="0" w:type="dxa"/>
        </w:tblCellMar>
      </w:tblPr>
      <w:tblGrid>
        <w:gridCol w:w="3331"/>
        <w:gridCol w:w="326"/>
        <w:gridCol w:w="856"/>
        <w:gridCol w:w="146"/>
        <w:gridCol w:w="901"/>
      </w:tblGrid>
      <w:tr>
        <w:trPr/>
        <w:tc>
          <w:tcPr>
            <w:tcW w:w="3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15185" cy="175260"/>
                      <wp:effectExtent l="0" t="0" r="0" b="0"/>
                      <wp:wrapNone/>
                      <wp:docPr id="501" name="Frame493"/>
                      <a:graphic xmlns:a="http://schemas.openxmlformats.org/drawingml/2006/main">
                        <a:graphicData uri="http://schemas.microsoft.com/office/word/2010/wordprocessingShape">
                          <wps:wsp>
                            <wps:cNvSpPr txBox="1"/>
                            <wps:spPr>
                              <a:xfrm>
                                <a:off x="0" y="0"/>
                                <a:ext cx="2115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4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43560" cy="175260"/>
                      <wp:effectExtent l="0" t="0" r="0" b="0"/>
                      <wp:wrapNone/>
                      <wp:docPr id="503" name="Frame495"/>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92710" cy="175260"/>
                      <wp:effectExtent l="0" t="0" r="0" b="0"/>
                      <wp:wrapNone/>
                      <wp:docPr id="504" name="Frame49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72135" cy="175260"/>
                      <wp:effectExtent l="0" t="0" r="0" b="0"/>
                      <wp:wrapNone/>
                      <wp:docPr id="505" name="Frame49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3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21F1F"/>
              </w:rPr>
            </w:pPr>
            <w:r>
              <w:rPr>
                <w:color w:val="221F1F"/>
              </w:rPr>
              <w:t>​</w:t>
            </w:r>
          </w:p>
        </w:tc>
        <w:tc>
          <w:tcPr>
            <w:tcW w:w="19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As of December 31,</w:t>
            </w:r>
          </w:p>
        </w:tc>
      </w:tr>
      <w:tr>
        <w:trPr/>
        <w:tc>
          <w:tcPr>
            <w:tcW w:w="333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146" w:type="dxa"/>
            <w:tcBorders/>
            <w:shd w:fill="auto" w:val="clear"/>
            <w:vAlign w:val="center"/>
          </w:tcPr>
          <w:p>
            <w:pPr>
              <w:pStyle w:val="TableContents"/>
              <w:spacing w:before="0" w:after="1"/>
              <w:ind w:left="0" w:right="0" w:hanging="0"/>
              <w:jc w:val="center"/>
              <w:rPr>
                <w:color w:val="231F20"/>
              </w:rPr>
            </w:pPr>
            <w:r>
              <w:rPr>
                <w:color w:val="231F20"/>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333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rPr>
                <w:color w:val="221F1F"/>
              </w:rPr>
            </w:pPr>
            <w:r>
              <w:rPr>
                <w:color w:val="221F1F"/>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RMB ‘000</w:t>
            </w:r>
          </w:p>
        </w:tc>
        <w:tc>
          <w:tcPr>
            <w:tcW w:w="14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Deposits received from franchisees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107,034</w:t>
            </w:r>
          </w:p>
        </w:tc>
        <w:tc>
          <w:tcPr>
            <w:tcW w:w="14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129,101</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Deferred rent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204,056</w:t>
            </w:r>
          </w:p>
        </w:tc>
        <w:tc>
          <w:tcPr>
            <w:tcW w:w="14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Asset retirement obligations (Note 2(t))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3,597</w:t>
            </w:r>
          </w:p>
        </w:tc>
        <w:tc>
          <w:tcPr>
            <w:tcW w:w="14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3,773</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Others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2,920</w:t>
            </w:r>
          </w:p>
        </w:tc>
        <w:tc>
          <w:tcPr>
            <w:tcW w:w="146" w:type="dxa"/>
            <w:tcBorders/>
            <w:shd w:fill="auto" w:val="clear"/>
            <w:vAlign w:val="center"/>
          </w:tcPr>
          <w:p>
            <w:pPr>
              <w:pStyle w:val="TableContents"/>
              <w:spacing w:before="0" w:after="1"/>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8,889</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Total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317,607</w:t>
            </w:r>
          </w:p>
        </w:tc>
        <w:tc>
          <w:tcPr>
            <w:tcW w:w="146" w:type="dxa"/>
            <w:tcBorders/>
            <w:shd w:fill="CCEEFF" w:val="clear"/>
            <w:vAlign w:val="center"/>
          </w:tcPr>
          <w:p>
            <w:pPr>
              <w:pStyle w:val="TableContents"/>
              <w:spacing w:before="0" w:after="1"/>
              <w:ind w:left="0" w:right="0" w:hanging="0"/>
              <w:rPr>
                <w:color w:val="231F20"/>
              </w:rPr>
            </w:pPr>
            <w:r>
              <w:rPr>
                <w:color w:val="231F20"/>
              </w:rPr>
              <w:t> </w:t>
            </w:r>
          </w:p>
        </w:tc>
        <w:tc>
          <w:tcPr>
            <w:tcW w:w="90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141,763</w:t>
            </w:r>
          </w:p>
        </w:tc>
      </w:tr>
    </w:tbl>
    <w:p>
      <w:pPr>
        <w:pStyle w:val="TextBody"/>
        <w:spacing w:before="0" w:after="240"/>
        <w:ind w:left="0" w:right="0" w:firstLine="36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812" w:type="dxa"/>
        <w:jc w:val="left"/>
        <w:tblInd w:w="0" w:type="dxa"/>
        <w:tblCellMar>
          <w:top w:w="0" w:type="dxa"/>
          <w:left w:w="0" w:type="dxa"/>
          <w:bottom w:w="0" w:type="dxa"/>
          <w:right w:w="0" w:type="dxa"/>
        </w:tblCellMar>
      </w:tblPr>
      <w:tblGrid>
        <w:gridCol w:w="376"/>
        <w:gridCol w:w="343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12.</w:t>
            </w:r>
          </w:p>
        </w:tc>
        <w:tc>
          <w:tcPr>
            <w:tcW w:w="343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Ordinary shares with preference rights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Prior to the Restructuring, as described further in Note 1, Atour Shanghai had issued ordinary shares with preferences rights to certain shareholders, including Series A Shares, Series B Shares and Series C Shares. In connection with the Restructuring, the affiliates of these shareholders acquired Class A ordinary shares of the Company with the same rights, preferences and privileges for the surrender of their respective equity interests in Atour Shanghai. The rights, preferences and privileges of Series A Shares, Series B Shares and Series C Shares of Atour Shanghai are described below.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Redemption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For Series C Shares, at any time of the occurrence of the following events, the holders of Series C Shares are entitled to request the Company to redeem all of the outstanding Series C Shares at the redemption price equal to one hundred percent (100%) of the Series C Shares issue price (RMB552,330), plus interest at a compound rate of eight percent (8%) per annum from the applicable issue date to the redemption payment date. (i) failure to complete a Qualified initial public offering (“IPO”) or a Whole Sale transaction as acknowledged by the Series C shareholders within the fifth anniversary of the Series C Shares issue dates (being July 25, 2017 and October 25, 2017). Whole Sale transaction is defined as either a sale of more than 50% equity interests of the Company, or a disposal of all or substantially all of the assets of the Company or an exclusive license of all or substantially all of the Company’s intellectual properties to a third party; (ii) </w:t>
      </w:r>
      <w:r>
        <w:rPr>
          <w:rFonts w:ascii="Times New Roman;Times;serif" w:hAnsi="Times New Roman;Times;serif"/>
          <w:color w:val="231F20"/>
          <w:sz w:val="20"/>
        </w:rPr>
        <w:t xml:space="preserve">any material change of the Company’s principal business, the founder and the other senior executives, which would result in substantial obstacle of completing a Qualified IPO, without the Series C shareholders’ approval; iii) any material breach of representations, commitments and undertakings made by the Company and/or the founder in </w:t>
      </w:r>
      <w:r>
        <w:rPr>
          <w:rFonts w:ascii="Times New Roman;Times;serif" w:hAnsi="Times New Roman;Times;serif"/>
          <w:sz w:val="20"/>
        </w:rPr>
        <w:t>connection</w:t>
      </w:r>
      <w:r>
        <w:rPr>
          <w:rFonts w:ascii="Times New Roman;Times;serif" w:hAnsi="Times New Roman;Times;serif"/>
          <w:color w:val="231F20"/>
          <w:sz w:val="20"/>
        </w:rPr>
        <w:t xml:space="preserve"> with the Series C Share investment; (iv) any material breach of the fiduciary duty by the founder and/or other senior executives, which would result in substantial obstacle of completing a Qualified IPO.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For Series B Shares, upon the redemption of Series C Shares, and the occurrence of the following events: i) sale of over 50% equity interests of the Company, </w:t>
      </w:r>
      <w:r>
        <w:rPr>
          <w:rFonts w:ascii="Times New Roman;Times;serif" w:hAnsi="Times New Roman;Times;serif"/>
          <w:color w:val="231F20"/>
          <w:sz w:val="20"/>
        </w:rPr>
        <w:t>substantial</w:t>
      </w:r>
      <w:r>
        <w:rPr>
          <w:rFonts w:ascii="Times New Roman;Times;serif" w:hAnsi="Times New Roman;Times;serif"/>
          <w:sz w:val="20"/>
        </w:rPr>
        <w:t xml:space="preserve"> assets sale or exclusive license of the substantial intellectual properties of the Company; 2) any material breach of representations, commitments and undertakings made by the Company and/or the founder in connection with the Series B Share investment, the holders of Series B Shares is entitled to request the Company to redeem all of the outstanding Series B Shares at the redemption price equal to one hundred percent (100%) of the Series B Shares issue price (RMB167,500), plus interest at a compound rate of ten percent (10%) per annum from the applicable issue date (January 8, 2015) to the redemption payment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Series A Shares, they are only redeemable upon the liquidation events.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Liquidation preference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Upon any liquidation, dissolution, or winding up of the Company, whether voluntary or involuntary, the holders of Series C Shares, Series B Shares and Series A Shares have the top, secondary and third priority, respectively, to be distributed or paid in preference to the other ordinary shareholders: (i) Each holder of Series C Shares, shall be entitled to receive an amount equal to one hundred percent (100%) of the applicable issue price plus interest at a compound rate of eight percent (8%) per annum from the applicable issue date to the payment date; ii) each holder of Series B Shares and Series A Shares shall be entitled to receive an amount equal 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hundred percent (100%) of the applicable issue price plus interest at a simple rate of six percent (6%) per annum from the applicable issue date to the payment date. For Series A Shares, the applicable issue price is RMB49,000 and the issue date is December 23, 2012.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Accounting for the ordinary shares with preference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classified the ordinary share with redemption rights, representing Series B and Series C Shares of Atour Shanghai prior to the Restructuring, in the mezzanine equity as they are contingently redeemable upon the occurrence of certain events outside of the Company’s control. The Company concluded the embedded redemption option of the Series B and Series C Shares did not need to be bifurcated pursuant to ASC 815 because these terms do not permit net settlement, nor they can be readily settled net by a means outside the contract, nor they can provide for delivery of an asset that puts the holders in a position not substantially different from net settlement.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1975" w:name="Tc_FbREdF6P8U6LWbO6J6R6-g_7_4"/>
      <w:bookmarkStart w:id="1976" w:name="Tc_q3Y7clh0b0aRAKYOoQBLEw_7_0"/>
      <w:bookmarkStart w:id="1977" w:name="Tc_hESLgtjdn0eFEJnEtFYEzg_6_2"/>
      <w:bookmarkStart w:id="1978" w:name="Tc_IZpTFBg-PUqeil7AU6Qq6A_6_0"/>
      <w:bookmarkStart w:id="1979" w:name="Tc_omhgapQGk0uB7A3z3h5E0A_5_0"/>
      <w:bookmarkStart w:id="1980" w:name="Tc_v5f-7AOn7kCamHgO_33wQg_4_0"/>
      <w:bookmarkStart w:id="1981" w:name="Tc_D_WEeIVHw0ipQ7hgOv2Etw_3_4"/>
      <w:bookmarkStart w:id="1982" w:name="Tc__bzqaytRwU6nxtffELWjTA_3_2"/>
      <w:bookmarkStart w:id="1983" w:name="Tc_1CsC1-qXw0S8P79iwMjzig_2_4"/>
      <w:bookmarkStart w:id="1984" w:name="Tc_7Gb8Z5O2Y0WyI1H4gXzx-w_2_2"/>
      <w:bookmarkStart w:id="1985" w:name="Tc_vBHc3rdH5EaiTsdIz4Fh2w_1_2"/>
      <w:bookmarkEnd w:id="1975"/>
      <w:bookmarkEnd w:id="1976"/>
      <w:bookmarkEnd w:id="1977"/>
      <w:bookmarkEnd w:id="1978"/>
      <w:bookmarkEnd w:id="1979"/>
      <w:bookmarkEnd w:id="1980"/>
      <w:bookmarkEnd w:id="1981"/>
      <w:bookmarkEnd w:id="1982"/>
      <w:bookmarkEnd w:id="1983"/>
      <w:bookmarkEnd w:id="1984"/>
      <w:bookmarkEnd w:id="1985"/>
      <w:r>
        <w:rPr>
          <w:rFonts w:ascii="Times New Roman;Times;serif" w:hAnsi="Times New Roman;Times;serif"/>
          <w:sz w:val="20"/>
        </w:rPr>
        <w:t>The Company classified the ordinary shares with liquidation preference, representing Series A Shares of Atour Shanghai prior to the Restructuring in permanent equity as they are only redeemable upon the liquidation events.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2020, the Company concluded that it was probable that the Series C Shares would become redeemable, and it was not probable that the Series B Shares would become redeemable.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Series B Shares, no subsequent adjustment was made on the carrying amount as they were not probable to be redeemed.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Series C Shares, the Company has elected to recognize changes in the redemption value immediately as they occur and adjust the carrying amount of the redeemable shares to equal the redemption value at the end of each reporting period. The accretions, if any, are recorded against retained earnings, or in the absence of retained earnings, by charges against additional paid-in capital. Once additional paid-in capital has been exhausted, additional charges are recorded by increasing the accumulated deficit.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the submission of the draft registration statement for the Company’s proposed IPO, and pursuant to the reorganization framework agreement entered into by Atour Shanghai and its shareholders in February 2021, the preference rights (including liquidation preference and redemption rights, where applicable) of Series A, B and C Shares were terminated on April 8, 2021. The redeemable Series B and C Shares were reclassified from mezzanine equity to permanent equity and Series A Shares with liquidation preference were reclassified to Class A ordinary shares within permanent equity on April 8, 2021 as a result of the termination of the preference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Series C Shares activities for the years ended December 31, 2020 and 2021 consist of the following:</w:t>
      </w:r>
    </w:p>
    <w:p>
      <w:pPr>
        <w:pStyle w:val="TextBody"/>
        <w:spacing w:before="0" w:after="0"/>
        <w:ind w:left="0" w:right="0" w:hanging="0"/>
        <w:rPr/>
      </w:pPr>
      <w:r>
        <w:rPr/>
        <w:t>​</w:t>
      </w:r>
    </w:p>
    <w:tbl>
      <w:tblPr>
        <w:tblW w:w="9190" w:type="dxa"/>
        <w:jc w:val="left"/>
        <w:tblInd w:w="0" w:type="dxa"/>
        <w:tblCellMar>
          <w:top w:w="0" w:type="dxa"/>
          <w:left w:w="0" w:type="dxa"/>
          <w:bottom w:w="0" w:type="dxa"/>
          <w:right w:w="0" w:type="dxa"/>
        </w:tblCellMar>
      </w:tblPr>
      <w:tblGrid>
        <w:gridCol w:w="6736"/>
        <w:gridCol w:w="326"/>
        <w:gridCol w:w="856"/>
        <w:gridCol w:w="326"/>
        <w:gridCol w:w="946"/>
      </w:tblGrid>
      <w:tr>
        <w:trPr/>
        <w:tc>
          <w:tcPr>
            <w:tcW w:w="6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277360" cy="175260"/>
                      <wp:effectExtent l="0" t="0" r="0" b="0"/>
                      <wp:wrapNone/>
                      <wp:docPr id="506" name="Frame498"/>
                      <a:graphic xmlns:a="http://schemas.openxmlformats.org/drawingml/2006/main">
                        <a:graphicData uri="http://schemas.microsoft.com/office/word/2010/wordprocessingShape">
                          <wps:wsp>
                            <wps:cNvSpPr txBox="1"/>
                            <wps:spPr>
                              <a:xfrm>
                                <a:off x="0" y="0"/>
                                <a:ext cx="427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4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43560" cy="175260"/>
                      <wp:effectExtent l="0" t="0" r="0" b="0"/>
                      <wp:wrapNone/>
                      <wp:docPr id="508" name="Frame50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00710" cy="175260"/>
                      <wp:effectExtent l="0" t="0" r="0" b="0"/>
                      <wp:wrapNone/>
                      <wp:docPr id="510" name="Frame502"/>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6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26" w:type="dxa"/>
            <w:tcBorders/>
            <w:shd w:fill="auto" w:val="cle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r>
      <w:tr>
        <w:trPr/>
        <w:tc>
          <w:tcPr>
            <w:tcW w:w="6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6736"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Balance at the beginning of the year</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661,012</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713,893</w:t>
            </w:r>
          </w:p>
        </w:tc>
      </w:tr>
      <w:tr>
        <w:trPr/>
        <w:tc>
          <w:tcPr>
            <w:tcW w:w="6736"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Accretion to the redemption value</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52,881</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15,115</w:t>
            </w:r>
          </w:p>
        </w:tc>
      </w:tr>
      <w:tr>
        <w:trPr/>
        <w:tc>
          <w:tcPr>
            <w:tcW w:w="6736" w:type="dxa"/>
            <w:tcBorders/>
            <w:shd w:fill="CCEEFF" w:val="clear"/>
            <w:vAlign w:val="center"/>
          </w:tcPr>
          <w:p>
            <w:pPr>
              <w:pStyle w:val="TableContents"/>
              <w:pBdr/>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Reclassification of redeemable Class A ordinary shares to Class A ordinary shares </w:t>
            </w:r>
          </w:p>
        </w:tc>
        <w:tc>
          <w:tcPr>
            <w:tcW w:w="326" w:type="dxa"/>
            <w:tcBorders/>
            <w:shd w:fill="CCEEFF" w:val="cle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(729,008)</w:t>
            </w:r>
          </w:p>
        </w:tc>
      </w:tr>
      <w:tr>
        <w:trPr/>
        <w:tc>
          <w:tcPr>
            <w:tcW w:w="6736"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Balance at the end of the year</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713,893</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60" w:hanging="0"/>
              <w:jc w:val="right"/>
              <w:rPr>
                <w:color w:val="231F20"/>
              </w:rPr>
            </w:pPr>
            <w:r>
              <w:rPr>
                <w:color w:val="231F20"/>
              </w:rPr>
              <w:t>—</w:t>
            </w:r>
          </w:p>
        </w:tc>
      </w:tr>
    </w:tbl>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986" w:name="Tc_sJKn8Pcy30yrzNxk_0Q7PA_15_0"/>
      <w:bookmarkStart w:id="1987" w:name="Tc_0MIm4NC-SECRJeQz-ctCiA_14_0"/>
      <w:bookmarkStart w:id="1988" w:name="Tc_VwI0dnwWg0udwtRu7nj2wQ_13_0"/>
      <w:bookmarkStart w:id="1989" w:name="Tc_CAOt_c6F_EyGnq-DhwIP1Q_12_0"/>
      <w:bookmarkStart w:id="1990" w:name="Tc_0RBEcYy6BEG-6bX2hKACSQ_11_0"/>
      <w:bookmarkStart w:id="1991" w:name="Tc_BqeGzYO1VUerh-7ffxOSVQ_10_0"/>
      <w:bookmarkStart w:id="1992" w:name="Tc_i8opuWTu_UqROp78BixpPQ_9_0"/>
      <w:bookmarkStart w:id="1993" w:name="Tc_lXGMhXKrVU-JDbmqWr_84g_8_0"/>
      <w:bookmarkStart w:id="1994" w:name="Tc_HPRztHRL10a8BUGGrNabFg_7_0"/>
      <w:bookmarkStart w:id="1995" w:name="Tc_3y3SuG9blUykC2asCqhF5g_6_0"/>
      <w:bookmarkStart w:id="1996" w:name="Tc_ufAD5KIofkyW7IbkTajVsw_5_0"/>
      <w:bookmarkStart w:id="1997" w:name="Tc_7aD1wy4KYkO-PlXGHDclIQ_4_0"/>
      <w:bookmarkStart w:id="1998" w:name="Tc_-DULlgjW7UyjceF63N-9mA_3_6"/>
      <w:bookmarkStart w:id="1999" w:name="Tc_4G-9RcaglkGsgy_wKpkuWg_3_4"/>
      <w:bookmarkStart w:id="2000" w:name="Tc_C6JTG9oEpk6agix2Bichcg_3_2"/>
      <w:bookmarkStart w:id="2001" w:name="Tc_bLw-VWXqz0-ddw_0UvjbeQ_2_6"/>
      <w:bookmarkStart w:id="2002" w:name="Tc_H_yNHJh0RUy1QW7i5Iyzfg_2_4"/>
      <w:bookmarkStart w:id="2003" w:name="Tc_55EdAf7oGUmlniuXsNAKIg_2_2"/>
      <w:bookmarkStart w:id="2004" w:name="Tc_RlF0Sl4xR06ss70mhaJeDA_1_2"/>
      <w:bookmarkStart w:id="2005" w:name="Tc_sJKn8Pcy30yrzNxk_0Q7PA_15_0"/>
      <w:bookmarkStart w:id="2006" w:name="Tc_0MIm4NC-SECRJeQz-ctCiA_14_0"/>
      <w:bookmarkStart w:id="2007" w:name="Tc_VwI0dnwWg0udwtRu7nj2wQ_13_0"/>
      <w:bookmarkStart w:id="2008" w:name="Tc_CAOt_c6F_EyGnq-DhwIP1Q_12_0"/>
      <w:bookmarkStart w:id="2009" w:name="Tc_0RBEcYy6BEG-6bX2hKACSQ_11_0"/>
      <w:bookmarkStart w:id="2010" w:name="Tc_BqeGzYO1VUerh-7ffxOSVQ_10_0"/>
      <w:bookmarkStart w:id="2011" w:name="Tc_i8opuWTu_UqROp78BixpPQ_9_0"/>
      <w:bookmarkStart w:id="2012" w:name="Tc_lXGMhXKrVU-JDbmqWr_84g_8_0"/>
      <w:bookmarkStart w:id="2013" w:name="Tc_HPRztHRL10a8BUGGrNabFg_7_0"/>
      <w:bookmarkStart w:id="2014" w:name="Tc_3y3SuG9blUykC2asCqhF5g_6_0"/>
      <w:bookmarkStart w:id="2015" w:name="Tc_ufAD5KIofkyW7IbkTajVsw_5_0"/>
      <w:bookmarkStart w:id="2016" w:name="Tc_7aD1wy4KYkO-PlXGHDclIQ_4_0"/>
      <w:bookmarkStart w:id="2017" w:name="Tc_-DULlgjW7UyjceF63N-9mA_3_6"/>
      <w:bookmarkStart w:id="2018" w:name="Tc_4G-9RcaglkGsgy_wKpkuWg_3_4"/>
      <w:bookmarkStart w:id="2019" w:name="Tc_C6JTG9oEpk6agix2Bichcg_3_2"/>
      <w:bookmarkStart w:id="2020" w:name="Tc_bLw-VWXqz0-ddw_0UvjbeQ_2_6"/>
      <w:bookmarkStart w:id="2021" w:name="Tc_H_yNHJh0RUy1QW7i5Iyzfg_2_4"/>
      <w:bookmarkStart w:id="2022" w:name="Tc_55EdAf7oGUmlniuXsNAKIg_2_2"/>
      <w:bookmarkStart w:id="2023" w:name="Tc_RlF0Sl4xR06ss70mhaJeDA_1_2"/>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p>
    <w:tbl>
      <w:tblPr>
        <w:tblW w:w="1247" w:type="dxa"/>
        <w:jc w:val="left"/>
        <w:tblInd w:w="0" w:type="dxa"/>
        <w:tblCellMar>
          <w:top w:w="0" w:type="dxa"/>
          <w:left w:w="0" w:type="dxa"/>
          <w:bottom w:w="0" w:type="dxa"/>
          <w:right w:w="0" w:type="dxa"/>
        </w:tblCellMar>
      </w:tblPr>
      <w:tblGrid>
        <w:gridCol w:w="376"/>
        <w:gridCol w:w="871"/>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13.</w:t>
            </w:r>
          </w:p>
        </w:tc>
        <w:tc>
          <w:tcPr>
            <w:tcW w:w="87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Revenue</w:t>
            </w:r>
          </w:p>
        </w:tc>
      </w:tr>
    </w:tbl>
    <w:tbl>
      <w:tblPr>
        <w:tblW w:w="2796" w:type="dxa"/>
        <w:jc w:val="left"/>
        <w:tblInd w:w="0" w:type="dxa"/>
        <w:tblCellMar>
          <w:top w:w="0" w:type="dxa"/>
          <w:left w:w="0" w:type="dxa"/>
          <w:bottom w:w="0" w:type="dxa"/>
          <w:right w:w="0" w:type="dxa"/>
        </w:tblCellMar>
      </w:tblPr>
      <w:tblGrid>
        <w:gridCol w:w="124"/>
        <w:gridCol w:w="331"/>
        <w:gridCol w:w="234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(a)</w:t>
            </w:r>
          </w:p>
        </w:tc>
        <w:tc>
          <w:tcPr>
            <w:tcW w:w="234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Disaggregation of revenue</w:t>
            </w:r>
          </w:p>
        </w:tc>
      </w:tr>
    </w:tbl>
    <w:p>
      <w:pPr>
        <w:pStyle w:val="TextBody"/>
        <w:spacing w:before="0" w:after="0"/>
        <w:ind w:left="0" w:right="0" w:hanging="0"/>
        <w:rPr/>
      </w:pPr>
      <w:r>
        <w:rPr/>
        <w:t>​</w:t>
      </w:r>
    </w:p>
    <w:tbl>
      <w:tblPr>
        <w:tblW w:w="7372" w:type="dxa"/>
        <w:jc w:val="left"/>
        <w:tblInd w:w="0" w:type="dxa"/>
        <w:tblCellMar>
          <w:top w:w="0" w:type="dxa"/>
          <w:left w:w="0" w:type="dxa"/>
          <w:bottom w:w="0" w:type="dxa"/>
          <w:right w:w="0" w:type="dxa"/>
        </w:tblCellMar>
      </w:tblPr>
      <w:tblGrid>
        <w:gridCol w:w="3496"/>
        <w:gridCol w:w="326"/>
        <w:gridCol w:w="931"/>
        <w:gridCol w:w="326"/>
        <w:gridCol w:w="931"/>
        <w:gridCol w:w="326"/>
        <w:gridCol w:w="1036"/>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219960" cy="175260"/>
                      <wp:effectExtent l="0" t="0" r="0" b="0"/>
                      <wp:wrapNone/>
                      <wp:docPr id="511" name="Frame503"/>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91185" cy="175260"/>
                      <wp:effectExtent l="0" t="0" r="0" b="0"/>
                      <wp:wrapNone/>
                      <wp:docPr id="513" name="Frame50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91185" cy="175260"/>
                      <wp:effectExtent l="0" t="0" r="0" b="0"/>
                      <wp:wrapNone/>
                      <wp:docPr id="515" name="Frame50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57860" cy="175260"/>
                      <wp:effectExtent l="0" t="0" r="0" b="0"/>
                      <wp:wrapNone/>
                      <wp:docPr id="517" name="Frame50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Upfront franchise fees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29,841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32,356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38,066</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Continuing franchise fees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351,933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554,227</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757,158</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of hotel supplies and other products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421,217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514,557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516,865</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transactions with the franchisees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123,316</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119,161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48,754</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Manachised hotels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926,307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1,220,301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1,360,843</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Room revenues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457,173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579,946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505,557</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Food and beverage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36,244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43,641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43,313</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Leased hotels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496,470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630,238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552,929</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Retail revenues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70,877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191,596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253,607</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72,898</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105,442</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95,604</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1,566,552</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2,147,577</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2,262,983</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No geographical information is presented as the operations, customers and long-lived assets of the Group are all located in the PRC.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024" w:name="Tc_51WdB-iok0224zmRrO9cXw_8_0"/>
      <w:bookmarkStart w:id="2025" w:name="Tc_faeC0TnuYU2WiVRJdchCag_7_0"/>
      <w:bookmarkStart w:id="2026" w:name="Tc_6vSQa0kJ3ECu-3k1YYOnpA_6_0"/>
      <w:bookmarkStart w:id="2027" w:name="Tc_KEVTlVdlikqtCXYmOi_HZw_5_0"/>
      <w:bookmarkStart w:id="2028" w:name="Tc_A_CzVqfHK0m_mEhgWOc-Tw_4_0"/>
      <w:bookmarkStart w:id="2029" w:name="Tc_9x8irSggqUmNYKvVQ3CqKg_3_4"/>
      <w:bookmarkStart w:id="2030" w:name="Tc_b-o_YyHxu0q4dnlOvQPlNw_3_2"/>
      <w:bookmarkStart w:id="2031" w:name="Tc_3kmg-IsZ90C2yZuAeYE_eA_2_4"/>
      <w:bookmarkStart w:id="2032" w:name="Tc_UaNTyakTHEOUhHtU2jPDyA_2_2"/>
      <w:bookmarkStart w:id="2033" w:name="Tc_BW4wbgYPl0SkfvG0UzSB1Q_1_2"/>
      <w:bookmarkStart w:id="2034" w:name="Tc_lMLia5GSEEu7sEi5OCpODQ_6_0"/>
      <w:bookmarkStart w:id="2035" w:name="Tc_MaCN2dFiEUmldMAS23NyEA_5_0"/>
      <w:bookmarkStart w:id="2036" w:name="Tc_PIHro7HgpE-qVoTHSV3ACg_4_0"/>
      <w:bookmarkStart w:id="2037" w:name="Tc_AUg_ANcMLkmkS1gROA8zZw_3_4"/>
      <w:bookmarkStart w:id="2038" w:name="Tc_9eryC75SsEqQctTqchKCcQ_3_2"/>
      <w:bookmarkStart w:id="2039" w:name="Tc_pVx-uPoN3kGfW86FO7jtkQ_2_4"/>
      <w:bookmarkStart w:id="2040" w:name="Tc_5qu0zKH43kuZtHxrddgV6A_2_2"/>
      <w:bookmarkStart w:id="2041" w:name="Tc_oSNt-_iKAEuj9Fzcvd8bkw_1_2"/>
      <w:bookmarkStart w:id="2042" w:name="Tc_D4lcY44RQ0WyDDwBwx-hWQ_6_0"/>
      <w:bookmarkStart w:id="2043" w:name="Tc_x5C8GZeiJ0ejSUBJpMjYCw_5_0"/>
      <w:bookmarkStart w:id="2044" w:name="Tc_Sz_Hz_gL70284EJU_LEIog_4_0"/>
      <w:bookmarkStart w:id="2045" w:name="Tc_7WV-KwfW1EKN8BP05JQvVA_3_4"/>
      <w:bookmarkStart w:id="2046" w:name="Tc_KWImxVCQBECHjngi2sqSnA_3_2"/>
      <w:bookmarkStart w:id="2047" w:name="Tc_I4_dleq9RU-8VXNDoMMAow_2_4"/>
      <w:bookmarkStart w:id="2048" w:name="Tc_DMJK8ZA82UGxdBBtH-MPmA_2_2"/>
      <w:bookmarkStart w:id="2049" w:name="Tc_67sC8K9MeUOOEwGBkqJPxg_1_2"/>
      <w:bookmarkStart w:id="2050" w:name="Tc_QuoFpd5KOkyECEBebplXHA_6_0"/>
      <w:bookmarkStart w:id="2051" w:name="Tc_GNFw3waM3kCgEYrQYUSdsA_5_0"/>
      <w:bookmarkStart w:id="2052" w:name="Tc_s7Q6w8wfskOXFKh5VLoIFQ_4_0"/>
      <w:bookmarkStart w:id="2053" w:name="Tc_S7W3SXAv10uDkFsib7eJ4w_3_4"/>
      <w:bookmarkStart w:id="2054" w:name="Tc_ZH6rUYehPEaDBQgRM40NqA_3_2"/>
      <w:bookmarkStart w:id="2055" w:name="Tc_Toc9NEIkNECzWEFTOZeZ6g_2_4"/>
      <w:bookmarkStart w:id="2056" w:name="Tc_GhPUszoYDE-IvMsM3nRyhQ_2_2"/>
      <w:bookmarkStart w:id="2057" w:name="Tc_KqkWONkudEuBvu87yY6k9w_1_2"/>
      <w:bookmarkStart w:id="2058" w:name="Tc_iPihfgBNyUWdFVOsJ6B5OA_6_0"/>
      <w:bookmarkStart w:id="2059" w:name="Tc_iBJXgrViWkeqngHk2xIGVQ_5_0"/>
      <w:bookmarkStart w:id="2060" w:name="Tc_KNLHN4x3VUW-lpXxbfHZMg_4_0"/>
      <w:bookmarkStart w:id="2061" w:name="Tc_4-Q0Kce5PkyP3bKnFUxkFg_3_4"/>
      <w:bookmarkStart w:id="2062" w:name="Tc_CnqJ1gemOU-MPSFh67ucOg_3_2"/>
      <w:bookmarkStart w:id="2063" w:name="Tc_L-kUdmTmgky1ejcGVNH75A_2_4"/>
      <w:bookmarkStart w:id="2064" w:name="Tc_KmapagOyBkeKBn6nXxp_0A_2_2"/>
      <w:bookmarkStart w:id="2065" w:name="Tc_lAefn_HtrUm06h9xVpYNbA_1_2"/>
      <w:bookmarkStart w:id="2066" w:name="Tc_51WdB-iok0224zmRrO9cXw_8_0"/>
      <w:bookmarkStart w:id="2067" w:name="Tc_faeC0TnuYU2WiVRJdchCag_7_0"/>
      <w:bookmarkStart w:id="2068" w:name="Tc_6vSQa0kJ3ECu-3k1YYOnpA_6_0"/>
      <w:bookmarkStart w:id="2069" w:name="Tc_KEVTlVdlikqtCXYmOi_HZw_5_0"/>
      <w:bookmarkStart w:id="2070" w:name="Tc_A_CzVqfHK0m_mEhgWOc-Tw_4_0"/>
      <w:bookmarkStart w:id="2071" w:name="Tc_9x8irSggqUmNYKvVQ3CqKg_3_4"/>
      <w:bookmarkStart w:id="2072" w:name="Tc_b-o_YyHxu0q4dnlOvQPlNw_3_2"/>
      <w:bookmarkStart w:id="2073" w:name="Tc_3kmg-IsZ90C2yZuAeYE_eA_2_4"/>
      <w:bookmarkStart w:id="2074" w:name="Tc_UaNTyakTHEOUhHtU2jPDyA_2_2"/>
      <w:bookmarkStart w:id="2075" w:name="Tc_BW4wbgYPl0SkfvG0UzSB1Q_1_2"/>
      <w:bookmarkStart w:id="2076" w:name="Tc_lMLia5GSEEu7sEi5OCpODQ_6_0"/>
      <w:bookmarkStart w:id="2077" w:name="Tc_MaCN2dFiEUmldMAS23NyEA_5_0"/>
      <w:bookmarkStart w:id="2078" w:name="Tc_PIHro7HgpE-qVoTHSV3ACg_4_0"/>
      <w:bookmarkStart w:id="2079" w:name="Tc_AUg_ANcMLkmkS1gROA8zZw_3_4"/>
      <w:bookmarkStart w:id="2080" w:name="Tc_9eryC75SsEqQctTqchKCcQ_3_2"/>
      <w:bookmarkStart w:id="2081" w:name="Tc_pVx-uPoN3kGfW86FO7jtkQ_2_4"/>
      <w:bookmarkStart w:id="2082" w:name="Tc_5qu0zKH43kuZtHxrddgV6A_2_2"/>
      <w:bookmarkStart w:id="2083" w:name="Tc_oSNt-_iKAEuj9Fzcvd8bkw_1_2"/>
      <w:bookmarkStart w:id="2084" w:name="Tc_D4lcY44RQ0WyDDwBwx-hWQ_6_0"/>
      <w:bookmarkStart w:id="2085" w:name="Tc_x5C8GZeiJ0ejSUBJpMjYCw_5_0"/>
      <w:bookmarkStart w:id="2086" w:name="Tc_Sz_Hz_gL70284EJU_LEIog_4_0"/>
      <w:bookmarkStart w:id="2087" w:name="Tc_7WV-KwfW1EKN8BP05JQvVA_3_4"/>
      <w:bookmarkStart w:id="2088" w:name="Tc_KWImxVCQBECHjngi2sqSnA_3_2"/>
      <w:bookmarkStart w:id="2089" w:name="Tc_I4_dleq9RU-8VXNDoMMAow_2_4"/>
      <w:bookmarkStart w:id="2090" w:name="Tc_DMJK8ZA82UGxdBBtH-MPmA_2_2"/>
      <w:bookmarkStart w:id="2091" w:name="Tc_67sC8K9MeUOOEwGBkqJPxg_1_2"/>
      <w:bookmarkStart w:id="2092" w:name="Tc_QuoFpd5KOkyECEBebplXHA_6_0"/>
      <w:bookmarkStart w:id="2093" w:name="Tc_GNFw3waM3kCgEYrQYUSdsA_5_0"/>
      <w:bookmarkStart w:id="2094" w:name="Tc_s7Q6w8wfskOXFKh5VLoIFQ_4_0"/>
      <w:bookmarkStart w:id="2095" w:name="Tc_S7W3SXAv10uDkFsib7eJ4w_3_4"/>
      <w:bookmarkStart w:id="2096" w:name="Tc_ZH6rUYehPEaDBQgRM40NqA_3_2"/>
      <w:bookmarkStart w:id="2097" w:name="Tc_Toc9NEIkNECzWEFTOZeZ6g_2_4"/>
      <w:bookmarkStart w:id="2098" w:name="Tc_GhPUszoYDE-IvMsM3nRyhQ_2_2"/>
      <w:bookmarkStart w:id="2099" w:name="Tc_KqkWONkudEuBvu87yY6k9w_1_2"/>
      <w:bookmarkStart w:id="2100" w:name="Tc_iPihfgBNyUWdFVOsJ6B5OA_6_0"/>
      <w:bookmarkStart w:id="2101" w:name="Tc_iBJXgrViWkeqngHk2xIGVQ_5_0"/>
      <w:bookmarkStart w:id="2102" w:name="Tc_KNLHN4x3VUW-lpXxbfHZMg_4_0"/>
      <w:bookmarkStart w:id="2103" w:name="Tc_4-Q0Kce5PkyP3bKnFUxkFg_3_4"/>
      <w:bookmarkStart w:id="2104" w:name="Tc_CnqJ1gemOU-MPSFh67ucOg_3_2"/>
      <w:bookmarkStart w:id="2105" w:name="Tc_L-kUdmTmgky1ejcGVNH75A_2_4"/>
      <w:bookmarkStart w:id="2106" w:name="Tc_KmapagOyBkeKBn6nXxp_0A_2_2"/>
      <w:bookmarkStart w:id="2107" w:name="Tc_lAefn_HtrUm06h9xVpYNbA_1_2"/>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p>
    <w:tbl>
      <w:tblPr>
        <w:tblW w:w="2121" w:type="dxa"/>
        <w:jc w:val="left"/>
        <w:tblInd w:w="0" w:type="dxa"/>
        <w:tblCellMar>
          <w:top w:w="0" w:type="dxa"/>
          <w:left w:w="0" w:type="dxa"/>
          <w:bottom w:w="0" w:type="dxa"/>
          <w:right w:w="0" w:type="dxa"/>
        </w:tblCellMar>
      </w:tblPr>
      <w:tblGrid>
        <w:gridCol w:w="124"/>
        <w:gridCol w:w="331"/>
        <w:gridCol w:w="166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(b)</w:t>
            </w:r>
          </w:p>
        </w:tc>
        <w:tc>
          <w:tcPr>
            <w:tcW w:w="166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Contract balances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color w:val="231F20"/>
          <w:sz w:val="20"/>
        </w:rPr>
        <w:t>i)</w:t>
      </w:r>
      <w:r>
        <w:rPr>
          <w:rFonts w:ascii="Times New Roman;Times;serif" w:hAnsi="Times New Roman;Times;serif"/>
          <w:color w:val="231F20"/>
          <w:sz w:val="20"/>
        </w:rPr>
        <w:t xml:space="preserve">The following </w:t>
      </w:r>
      <w:r>
        <w:rPr>
          <w:rFonts w:ascii="Times New Roman;Times;serif" w:hAnsi="Times New Roman;Times;serif"/>
          <w:sz w:val="20"/>
        </w:rPr>
        <w:t>table</w:t>
      </w:r>
      <w:r>
        <w:rPr>
          <w:rFonts w:ascii="Times New Roman;Times;serif" w:hAnsi="Times New Roman;Times;serif"/>
          <w:color w:val="231F20"/>
          <w:sz w:val="20"/>
        </w:rPr>
        <w:t xml:space="preserve"> provides information about accounts receivable from contracts with customers.</w:t>
      </w:r>
    </w:p>
    <w:p>
      <w:pPr>
        <w:pStyle w:val="TextBody"/>
        <w:spacing w:before="0" w:after="0"/>
        <w:ind w:left="0" w:right="0" w:hanging="0"/>
        <w:rPr/>
      </w:pPr>
      <w:r>
        <w:rPr/>
        <w:t>​</w:t>
      </w:r>
    </w:p>
    <w:tbl>
      <w:tblPr>
        <w:tblW w:w="5440" w:type="dxa"/>
        <w:jc w:val="left"/>
        <w:tblInd w:w="0" w:type="dxa"/>
        <w:tblCellMar>
          <w:top w:w="0" w:type="dxa"/>
          <w:left w:w="0" w:type="dxa"/>
          <w:bottom w:w="0" w:type="dxa"/>
          <w:right w:w="0" w:type="dxa"/>
        </w:tblCellMar>
      </w:tblPr>
      <w:tblGrid>
        <w:gridCol w:w="3241"/>
        <w:gridCol w:w="326"/>
        <w:gridCol w:w="841"/>
        <w:gridCol w:w="146"/>
        <w:gridCol w:w="886"/>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58035" cy="175260"/>
                      <wp:effectExtent l="0" t="0" r="0" b="0"/>
                      <wp:wrapNone/>
                      <wp:docPr id="518" name="Frame510"/>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34035" cy="175260"/>
                      <wp:effectExtent l="0" t="0" r="0" b="0"/>
                      <wp:wrapNone/>
                      <wp:docPr id="520" name="Frame51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92710" cy="175260"/>
                      <wp:effectExtent l="0" t="0" r="0" b="0"/>
                      <wp:wrapNone/>
                      <wp:docPr id="521" name="Frame51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62610" cy="175260"/>
                      <wp:effectExtent l="0" t="0" r="0" b="0"/>
                      <wp:wrapNone/>
                      <wp:docPr id="522" name="Frame51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7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2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14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114,692</w:t>
            </w:r>
          </w:p>
        </w:tc>
        <w:tc>
          <w:tcPr>
            <w:tcW w:w="14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152,167</w:t>
            </w:r>
          </w:p>
        </w:tc>
      </w:tr>
      <w:tr>
        <w:trPr/>
        <w:tc>
          <w:tcPr>
            <w:tcW w:w="32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Allowance for doubtful accounts</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(14,731)</w:t>
            </w:r>
          </w:p>
        </w:tc>
        <w:tc>
          <w:tcPr>
            <w:tcW w:w="14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(19,468)</w:t>
            </w:r>
          </w:p>
        </w:tc>
      </w:tr>
      <w:tr>
        <w:trPr/>
        <w:tc>
          <w:tcPr>
            <w:tcW w:w="32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1"/>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99,961</w:t>
            </w:r>
          </w:p>
        </w:tc>
        <w:tc>
          <w:tcPr>
            <w:tcW w:w="14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132,699</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Changes in the allowance for doubtful accounts is as follows:</w:t>
      </w:r>
    </w:p>
    <w:p>
      <w:pPr>
        <w:pStyle w:val="TextBody"/>
        <w:spacing w:before="0" w:after="0"/>
        <w:ind w:left="0" w:right="0" w:hanging="0"/>
        <w:rPr/>
      </w:pPr>
      <w:r>
        <w:rPr/>
        <w:t>​</w:t>
      </w:r>
    </w:p>
    <w:tbl>
      <w:tblPr>
        <w:tblW w:w="6010" w:type="dxa"/>
        <w:jc w:val="left"/>
        <w:tblInd w:w="0" w:type="dxa"/>
        <w:tblCellMar>
          <w:top w:w="0" w:type="dxa"/>
          <w:left w:w="0" w:type="dxa"/>
          <w:bottom w:w="0" w:type="dxa"/>
          <w:right w:w="0" w:type="dxa"/>
        </w:tblCellMar>
      </w:tblPr>
      <w:tblGrid>
        <w:gridCol w:w="3631"/>
        <w:gridCol w:w="326"/>
        <w:gridCol w:w="841"/>
        <w:gridCol w:w="326"/>
        <w:gridCol w:w="886"/>
      </w:tblGrid>
      <w:tr>
        <w:trPr/>
        <w:tc>
          <w:tcPr>
            <w:tcW w:w="3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305685" cy="175260"/>
                      <wp:effectExtent l="0" t="0" r="0" b="0"/>
                      <wp:wrapNone/>
                      <wp:docPr id="523" name="Frame515"/>
                      <a:graphic xmlns:a="http://schemas.openxmlformats.org/drawingml/2006/main">
                        <a:graphicData uri="http://schemas.microsoft.com/office/word/2010/wordprocessingShape">
                          <wps:wsp>
                            <wps:cNvSpPr txBox="1"/>
                            <wps:spPr>
                              <a:xfrm>
                                <a:off x="0" y="0"/>
                                <a:ext cx="2305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34035" cy="175260"/>
                      <wp:effectExtent l="0" t="0" r="0" b="0"/>
                      <wp:wrapNone/>
                      <wp:docPr id="525" name="Frame51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62610" cy="175260"/>
                      <wp:effectExtent l="0" t="0" r="0" b="0"/>
                      <wp:wrapNone/>
                      <wp:docPr id="527" name="Frame51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3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20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363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363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363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At the beginning of the year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14,966</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14,731</w:t>
            </w:r>
          </w:p>
        </w:tc>
      </w:tr>
      <w:tr>
        <w:trPr/>
        <w:tc>
          <w:tcPr>
            <w:tcW w:w="363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Allowance (reversed) made during the year </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(235)</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4,737</w:t>
            </w:r>
          </w:p>
        </w:tc>
      </w:tr>
      <w:tr>
        <w:trPr/>
        <w:tc>
          <w:tcPr>
            <w:tcW w:w="363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At the end of the year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14,731</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19,468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color w:val="231F20"/>
          <w:sz w:val="20"/>
        </w:rPr>
        <w:t>ii)</w:t>
      </w:r>
      <w:r>
        <w:rPr>
          <w:rFonts w:ascii="Times New Roman;Times;serif" w:hAnsi="Times New Roman;Times;serif"/>
          <w:color w:val="231F20"/>
          <w:sz w:val="20"/>
        </w:rPr>
        <w:t>The following table provides information about contracts assets:</w:t>
      </w:r>
    </w:p>
    <w:p>
      <w:pPr>
        <w:pStyle w:val="TextBody"/>
        <w:spacing w:before="0" w:after="0"/>
        <w:ind w:left="0" w:right="0" w:hanging="0"/>
        <w:rPr/>
      </w:pPr>
      <w:r>
        <w:rPr/>
        <w:t>​</w:t>
      </w:r>
    </w:p>
    <w:tbl>
      <w:tblPr>
        <w:tblW w:w="3760" w:type="dxa"/>
        <w:jc w:val="left"/>
        <w:tblInd w:w="0" w:type="dxa"/>
        <w:tblCellMar>
          <w:top w:w="0" w:type="dxa"/>
          <w:left w:w="0" w:type="dxa"/>
          <w:bottom w:w="0" w:type="dxa"/>
          <w:right w:w="0" w:type="dxa"/>
        </w:tblCellMar>
      </w:tblPr>
      <w:tblGrid>
        <w:gridCol w:w="1381"/>
        <w:gridCol w:w="326"/>
        <w:gridCol w:w="841"/>
        <w:gridCol w:w="326"/>
        <w:gridCol w:w="886"/>
      </w:tblGrid>
      <w:tr>
        <w:trPr/>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876935" cy="175260"/>
                      <wp:effectExtent l="0" t="0" r="0" b="0"/>
                      <wp:wrapNone/>
                      <wp:docPr id="528" name="Frame520"/>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34035" cy="175260"/>
                      <wp:effectExtent l="0" t="0" r="0" b="0"/>
                      <wp:wrapNone/>
                      <wp:docPr id="530" name="Frame52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62610" cy="175260"/>
                      <wp:effectExtent l="0" t="0" r="0" b="0"/>
                      <wp:wrapNone/>
                      <wp:docPr id="532" name="Frame52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20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841" w:type="dxa"/>
            <w:tcBorders>
              <w:bottom w:val="single" w:sz="2" w:space="0" w:color="231F2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886" w:type="dxa"/>
            <w:tcBorders>
              <w:bottom w:val="single" w:sz="2" w:space="0" w:color="231F2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138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Current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7,171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8,741</w:t>
            </w:r>
          </w:p>
        </w:tc>
      </w:tr>
      <w:tr>
        <w:trPr/>
        <w:tc>
          <w:tcPr>
            <w:tcW w:w="138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Non-current </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62,615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58,288</w:t>
            </w:r>
          </w:p>
        </w:tc>
      </w:tr>
      <w:tr>
        <w:trPr/>
        <w:tc>
          <w:tcPr>
            <w:tcW w:w="138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Contract assets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69,786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67,029</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contract assets as of December 31, 2021 and 2022 were related to the Group’s right to consideration for hotel renovation services provided to franchisees to convert their buildings suitable for hotel use. The fees for the renovation services are billed and collected by the Group on monthly basis.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color w:val="231F20"/>
          <w:sz w:val="20"/>
        </w:rPr>
        <w:t>iii)</w:t>
      </w:r>
      <w:r>
        <w:rPr>
          <w:rFonts w:ascii="Times New Roman;Times;serif" w:hAnsi="Times New Roman;Times;serif"/>
          <w:color w:val="231F20"/>
          <w:sz w:val="20"/>
        </w:rPr>
        <w:t xml:space="preserve">The following </w:t>
      </w:r>
      <w:r>
        <w:rPr>
          <w:rFonts w:ascii="Times New Roman;Times;serif" w:hAnsi="Times New Roman;Times;serif"/>
          <w:sz w:val="20"/>
        </w:rPr>
        <w:t>table</w:t>
      </w:r>
      <w:r>
        <w:rPr>
          <w:rFonts w:ascii="Times New Roman;Times;serif" w:hAnsi="Times New Roman;Times;serif"/>
          <w:color w:val="231F20"/>
          <w:sz w:val="20"/>
        </w:rPr>
        <w:t xml:space="preserve"> provides information about deferred revenue from contracts with customers.</w:t>
      </w:r>
    </w:p>
    <w:p>
      <w:pPr>
        <w:pStyle w:val="TextBody"/>
        <w:spacing w:before="0" w:after="0"/>
        <w:ind w:left="0" w:right="0" w:hanging="0"/>
        <w:rPr/>
      </w:pPr>
      <w:r>
        <w:rPr/>
        <w:t>​</w:t>
      </w:r>
    </w:p>
    <w:tbl>
      <w:tblPr>
        <w:tblW w:w="4075" w:type="dxa"/>
        <w:jc w:val="left"/>
        <w:tblInd w:w="0" w:type="dxa"/>
        <w:tblCellMar>
          <w:top w:w="0" w:type="dxa"/>
          <w:left w:w="0" w:type="dxa"/>
          <w:bottom w:w="0" w:type="dxa"/>
          <w:right w:w="0" w:type="dxa"/>
        </w:tblCellMar>
      </w:tblPr>
      <w:tblGrid>
        <w:gridCol w:w="1696"/>
        <w:gridCol w:w="326"/>
        <w:gridCol w:w="841"/>
        <w:gridCol w:w="326"/>
        <w:gridCol w:w="886"/>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076960" cy="175260"/>
                      <wp:effectExtent l="0" t="0" r="0" b="0"/>
                      <wp:wrapNone/>
                      <wp:docPr id="533" name="Frame525"/>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34035" cy="175260"/>
                      <wp:effectExtent l="0" t="0" r="0" b="0"/>
                      <wp:wrapNone/>
                      <wp:docPr id="535" name="Frame52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62610" cy="175260"/>
                      <wp:effectExtent l="0" t="0" r="0" b="0"/>
                      <wp:wrapNone/>
                      <wp:docPr id="537" name="Frame52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0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1696"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1696"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Current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233,735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202,996</w:t>
            </w:r>
          </w:p>
        </w:tc>
      </w:tr>
      <w:tr>
        <w:trPr/>
        <w:tc>
          <w:tcPr>
            <w:tcW w:w="169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Non-current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267,909</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277,841</w:t>
            </w:r>
          </w:p>
        </w:tc>
      </w:tr>
      <w:tr>
        <w:trPr/>
        <w:tc>
          <w:tcPr>
            <w:tcW w:w="169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Contract liabilities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501,644</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480,837</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deferred revenue balances above as of December 31, 2021 and 2022 were comprised of the following:</w:t>
      </w:r>
    </w:p>
    <w:p>
      <w:pPr>
        <w:pStyle w:val="TextBody"/>
        <w:spacing w:before="0" w:after="0"/>
        <w:ind w:left="0" w:right="0" w:hanging="0"/>
        <w:rPr/>
      </w:pPr>
      <w:r>
        <w:rPr/>
        <w:t>​</w:t>
      </w:r>
    </w:p>
    <w:tbl>
      <w:tblPr>
        <w:tblW w:w="7150" w:type="dxa"/>
        <w:jc w:val="left"/>
        <w:tblInd w:w="0" w:type="dxa"/>
        <w:tblCellMar>
          <w:top w:w="0" w:type="dxa"/>
          <w:left w:w="0" w:type="dxa"/>
          <w:bottom w:w="0" w:type="dxa"/>
          <w:right w:w="0" w:type="dxa"/>
        </w:tblCellMar>
      </w:tblPr>
      <w:tblGrid>
        <w:gridCol w:w="4771"/>
        <w:gridCol w:w="326"/>
        <w:gridCol w:w="841"/>
        <w:gridCol w:w="326"/>
        <w:gridCol w:w="886"/>
      </w:tblGrid>
      <w:tr>
        <w:trPr/>
        <w:tc>
          <w:tcPr>
            <w:tcW w:w="4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029585" cy="175260"/>
                      <wp:effectExtent l="0" t="0" r="0" b="0"/>
                      <wp:wrapNone/>
                      <wp:docPr id="538" name="Frame530"/>
                      <a:graphic xmlns:a="http://schemas.openxmlformats.org/drawingml/2006/main">
                        <a:graphicData uri="http://schemas.microsoft.com/office/word/2010/wordprocessingShape">
                          <wps:wsp>
                            <wps:cNvSpPr txBox="1"/>
                            <wps:spPr>
                              <a:xfrm>
                                <a:off x="0" y="0"/>
                                <a:ext cx="3029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34035" cy="175260"/>
                      <wp:effectExtent l="0" t="0" r="0" b="0"/>
                      <wp:wrapNone/>
                      <wp:docPr id="540" name="Frame53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62610" cy="175260"/>
                      <wp:effectExtent l="0" t="0" r="0" b="0"/>
                      <wp:wrapNone/>
                      <wp:docPr id="542" name="Frame53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7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0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477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477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477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Upfront franchise fees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303,216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319,537</w:t>
            </w:r>
          </w:p>
        </w:tc>
      </w:tr>
      <w:tr>
        <w:trPr/>
        <w:tc>
          <w:tcPr>
            <w:tcW w:w="477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Advances from sales of hotel supplies and other products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111,633</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92,144</w:t>
            </w:r>
          </w:p>
        </w:tc>
      </w:tr>
      <w:tr>
        <w:trPr/>
        <w:tc>
          <w:tcPr>
            <w:tcW w:w="477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Loyalty program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48,691</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36,877</w:t>
            </w:r>
          </w:p>
        </w:tc>
      </w:tr>
      <w:tr>
        <w:trPr/>
        <w:tc>
          <w:tcPr>
            <w:tcW w:w="477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Others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38,104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32,279</w:t>
            </w:r>
          </w:p>
        </w:tc>
      </w:tr>
      <w:tr>
        <w:trPr/>
        <w:tc>
          <w:tcPr>
            <w:tcW w:w="477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Deferred revenue</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501,644</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480,837</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recognized revenues of RMB143,570, RMB160,633 and RMB170,768 during the years ended December 31, 2020, 2021 and 2022, which were included in deferred revenue as of January 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241" w:type="dxa"/>
        <w:jc w:val="left"/>
        <w:tblInd w:w="0" w:type="dxa"/>
        <w:tblCellMar>
          <w:top w:w="0" w:type="dxa"/>
          <w:left w:w="0" w:type="dxa"/>
          <w:bottom w:w="0" w:type="dxa"/>
          <w:right w:w="0" w:type="dxa"/>
        </w:tblCellMar>
      </w:tblPr>
      <w:tblGrid>
        <w:gridCol w:w="124"/>
        <w:gridCol w:w="316"/>
        <w:gridCol w:w="4801"/>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(c)</w:t>
            </w:r>
          </w:p>
        </w:tc>
        <w:tc>
          <w:tcPr>
            <w:tcW w:w="480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Revenue allocated to remaining performance obligation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Revenue allocated to remaining performance obligations represents contracted revenue that has not yet been recognized, which includes deferred revenue and amounts that will be invoiced and recognized as revenue in future periods.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2021 and 2022, the Group had RMB303,216 and RMB319,537 of deferred revenues related to upfront franchise fees which are expected to be recognized as revenues over the remaining contract periods over 1 to 20 years.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has elected, as a practical expedient, not to disclose the transaction price allocated to unsatisfied or partially unsatisfied performance obligations that are part of a contract that has an original expected duration of one year or less.</w:t>
      </w:r>
    </w:p>
    <w:p>
      <w:pPr>
        <w:pStyle w:val="Normal"/>
        <w:spacing w:before="0" w:after="0"/>
        <w:rPr>
          <w:sz w:val="4"/>
          <w:szCs w:val="4"/>
        </w:rPr>
      </w:pPr>
      <w:r>
        <w:rPr>
          <w:sz w:val="4"/>
          <w:szCs w:val="4"/>
        </w:rPr>
      </w:r>
      <w:bookmarkStart w:id="2108" w:name="Tc_hyimaUyNA0a2gV0fXvsL4A_13_0"/>
      <w:bookmarkStart w:id="2109" w:name="Tc_8UrFrw4DckCFsi2NbSXMXw_12_0"/>
      <w:bookmarkStart w:id="2110" w:name="Tc_cqGmt8c9u0CawkEgNdUoDw_11_3"/>
      <w:bookmarkStart w:id="2111" w:name="Tc_472H7Vq9nUOorcc8Hn69mw_11_0"/>
      <w:bookmarkStart w:id="2112" w:name="Tc_tyIFCcSdE0aii4uHreEBtQ_10_4"/>
      <w:bookmarkStart w:id="2113" w:name="Tc__4GZmRNHsE6o-K1II-nk-A_10_2"/>
      <w:bookmarkStart w:id="2114" w:name="Tc_HcweBZ2kkEm68VIzfzWGaw_10_0"/>
      <w:bookmarkStart w:id="2115" w:name="Tc_ARLuW3qyKUmM8-c7tOIQnQ_9_5"/>
      <w:bookmarkStart w:id="2116" w:name="Tc_vrk-QtDsC0az-kR6lUi_0g_9_0"/>
      <w:bookmarkStart w:id="2117" w:name="Tc_rcJwamPF6kG3gZqVyuAPmQ_8_0"/>
      <w:bookmarkStart w:id="2118" w:name="Tc__6ckFXo_a0q0Ev8mfI6DyQ_7_0"/>
      <w:bookmarkStart w:id="2119" w:name="Tc_YI6BYVQ0hkyohShpkw4QyA_6_6"/>
      <w:bookmarkStart w:id="2120" w:name="Tc_gg7CPdCfHUihoCJGJxKFbw_6_0"/>
      <w:bookmarkStart w:id="2121" w:name="Tc_Je_U8_wNh0yDfAK8IHuwWg_5_0"/>
      <w:bookmarkStart w:id="2122" w:name="Tc_GDt1zUm-x0m-mv2fXMAyrg_4_0"/>
      <w:bookmarkStart w:id="2123" w:name="Tc_q_UToFR7i02d4ICwJPTbIA_3_6"/>
      <w:bookmarkStart w:id="2124" w:name="Tc_UFp9P0Jn0kWtUT02O0O5tg_3_4"/>
      <w:bookmarkStart w:id="2125" w:name="Tc_NzaLT5-VKEqF6BVzy_8BYA_3_2"/>
      <w:bookmarkStart w:id="2126" w:name="Tc_YOs74oLKFkun0UqdF5EHIQ_2_6"/>
      <w:bookmarkStart w:id="2127" w:name="Tc_WjrpkaMrI0m7prmSeCGWBA_2_4"/>
      <w:bookmarkStart w:id="2128" w:name="Tc_0cvXC1gOx0mgnG8nqA3xJg_2_2"/>
      <w:bookmarkStart w:id="2129" w:name="Tc_XKyJrhQhiEuXKwaoI5GDSQ_1_2"/>
      <w:bookmarkStart w:id="2130" w:name="_f9436a32_2aff_4929_8096_e4bf854901bf"/>
      <w:bookmarkStart w:id="2131" w:name="Tc_hyimaUyNA0a2gV0fXvsL4A_13_0"/>
      <w:bookmarkStart w:id="2132" w:name="Tc_8UrFrw4DckCFsi2NbSXMXw_12_0"/>
      <w:bookmarkStart w:id="2133" w:name="Tc_cqGmt8c9u0CawkEgNdUoDw_11_3"/>
      <w:bookmarkStart w:id="2134" w:name="Tc_472H7Vq9nUOorcc8Hn69mw_11_0"/>
      <w:bookmarkStart w:id="2135" w:name="Tc_tyIFCcSdE0aii4uHreEBtQ_10_4"/>
      <w:bookmarkStart w:id="2136" w:name="Tc__4GZmRNHsE6o-K1II-nk-A_10_2"/>
      <w:bookmarkStart w:id="2137" w:name="Tc_HcweBZ2kkEm68VIzfzWGaw_10_0"/>
      <w:bookmarkStart w:id="2138" w:name="Tc_ARLuW3qyKUmM8-c7tOIQnQ_9_5"/>
      <w:bookmarkStart w:id="2139" w:name="Tc_vrk-QtDsC0az-kR6lUi_0g_9_0"/>
      <w:bookmarkStart w:id="2140" w:name="Tc_rcJwamPF6kG3gZqVyuAPmQ_8_0"/>
      <w:bookmarkStart w:id="2141" w:name="Tc__6ckFXo_a0q0Ev8mfI6DyQ_7_0"/>
      <w:bookmarkStart w:id="2142" w:name="Tc_YI6BYVQ0hkyohShpkw4QyA_6_6"/>
      <w:bookmarkStart w:id="2143" w:name="Tc_gg7CPdCfHUihoCJGJxKFbw_6_0"/>
      <w:bookmarkStart w:id="2144" w:name="Tc_Je_U8_wNh0yDfAK8IHuwWg_5_0"/>
      <w:bookmarkStart w:id="2145" w:name="Tc_GDt1zUm-x0m-mv2fXMAyrg_4_0"/>
      <w:bookmarkStart w:id="2146" w:name="Tc_q_UToFR7i02d4ICwJPTbIA_3_6"/>
      <w:bookmarkStart w:id="2147" w:name="Tc_UFp9P0Jn0kWtUT02O0O5tg_3_4"/>
      <w:bookmarkStart w:id="2148" w:name="Tc_NzaLT5-VKEqF6BVzy_8BYA_3_2"/>
      <w:bookmarkStart w:id="2149" w:name="Tc_YOs74oLKFkun0UqdF5EHIQ_2_6"/>
      <w:bookmarkStart w:id="2150" w:name="Tc_WjrpkaMrI0m7prmSeCGWBA_2_4"/>
      <w:bookmarkStart w:id="2151" w:name="Tc_0cvXC1gOx0mgnG8nqA3xJg_2_2"/>
      <w:bookmarkStart w:id="2152" w:name="Tc_XKyJrhQhiEuXKwaoI5GDSQ_1_2"/>
      <w:bookmarkStart w:id="2153" w:name="_f9436a32_2aff_4929_8096_e4bf854901bf"/>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p>
    <w:tbl>
      <w:tblPr>
        <w:tblW w:w="3602" w:type="dxa"/>
        <w:jc w:val="left"/>
        <w:tblInd w:w="0" w:type="dxa"/>
        <w:tblCellMar>
          <w:top w:w="0" w:type="dxa"/>
          <w:left w:w="0" w:type="dxa"/>
          <w:bottom w:w="0" w:type="dxa"/>
          <w:right w:w="0" w:type="dxa"/>
        </w:tblCellMar>
      </w:tblPr>
      <w:tblGrid>
        <w:gridCol w:w="376"/>
        <w:gridCol w:w="322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14.</w:t>
            </w:r>
          </w:p>
        </w:tc>
        <w:tc>
          <w:tcPr>
            <w:tcW w:w="322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Net (loss) income per ordinary share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Basic and diluted net (loss) income per ordinary share for the years ended December 31, 2020, 2021 and 2022 are calculated as follow:</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683"/>
        <w:gridCol w:w="326"/>
        <w:gridCol w:w="1141"/>
        <w:gridCol w:w="352"/>
        <w:gridCol w:w="1141"/>
        <w:gridCol w:w="375"/>
        <w:gridCol w:w="1187"/>
      </w:tblGrid>
      <w:tr>
        <w:trPr/>
        <w:tc>
          <w:tcPr>
            <w:tcW w:w="5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608705" cy="175260"/>
                      <wp:effectExtent l="0" t="0" r="0" b="0"/>
                      <wp:wrapNone/>
                      <wp:docPr id="543" name="Frame535"/>
                      <a:graphic xmlns:a="http://schemas.openxmlformats.org/drawingml/2006/main">
                        <a:graphicData uri="http://schemas.microsoft.com/office/word/2010/wordprocessingShape">
                          <wps:wsp>
                            <wps:cNvSpPr txBox="1"/>
                            <wps:spPr>
                              <a:xfrm>
                                <a:off x="0" y="0"/>
                                <a:ext cx="36087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724535" cy="175260"/>
                      <wp:effectExtent l="0" t="0" r="0" b="0"/>
                      <wp:wrapNone/>
                      <wp:docPr id="545" name="Frame53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23520" cy="175260"/>
                      <wp:effectExtent l="0" t="0" r="0" b="0"/>
                      <wp:wrapNone/>
                      <wp:docPr id="546" name="Frame538"/>
                      <a:graphic xmlns:a="http://schemas.openxmlformats.org/drawingml/2006/main">
                        <a:graphicData uri="http://schemas.microsoft.com/office/word/2010/wordprocessingShape">
                          <wps:wsp>
                            <wps:cNvSpPr txBox="1"/>
                            <wps:spPr>
                              <a:xfrm>
                                <a:off x="0" y="0"/>
                                <a:ext cx="223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724535" cy="175260"/>
                      <wp:effectExtent l="0" t="0" r="0" b="0"/>
                      <wp:wrapNone/>
                      <wp:docPr id="547" name="Frame53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38125" cy="175260"/>
                      <wp:effectExtent l="0" t="0" r="0" b="0"/>
                      <wp:wrapNone/>
                      <wp:docPr id="548" name="Frame540"/>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753745" cy="175260"/>
                      <wp:effectExtent l="0" t="0" r="0" b="0"/>
                      <wp:wrapNone/>
                      <wp:docPr id="549" name="Frame541"/>
                      <a:graphic xmlns:a="http://schemas.openxmlformats.org/drawingml/2006/main">
                        <a:graphicData uri="http://schemas.microsoft.com/office/word/2010/wordprocessingShape">
                          <wps:wsp>
                            <wps:cNvSpPr txBox="1"/>
                            <wps:spPr>
                              <a:xfrm>
                                <a:off x="0" y="0"/>
                                <a:ext cx="753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83"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419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Years ended December 31,</w:t>
            </w:r>
          </w:p>
        </w:tc>
      </w:tr>
      <w:tr>
        <w:trPr/>
        <w:tc>
          <w:tcPr>
            <w:tcW w:w="5683"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52"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75" w:type="dxa"/>
            <w:tcBorders/>
            <w:shd w:fill="auto" w:val="clear"/>
            <w:vAlign w:val="center"/>
          </w:tcPr>
          <w:p>
            <w:pPr>
              <w:pStyle w:val="TableContents"/>
              <w:spacing w:before="0" w:after="1"/>
              <w:ind w:left="0" w:right="0" w:hanging="0"/>
              <w:jc w:val="center"/>
              <w:rPr>
                <w:color w:val="231F20"/>
              </w:rPr>
            </w:pPr>
            <w:r>
              <w:rPr>
                <w:color w:val="231F20"/>
              </w:rPr>
              <w:t>    </w:t>
            </w:r>
          </w:p>
        </w:tc>
        <w:tc>
          <w:tcPr>
            <w:tcW w:w="118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5683"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52" w:type="dxa"/>
            <w:tcBorders/>
            <w:shd w:fill="auto" w:val="clear"/>
            <w:vAlign w:val="center"/>
          </w:tcPr>
          <w:p>
            <w:pPr>
              <w:pStyle w:val="TableContents"/>
              <w:spacing w:before="0" w:after="1"/>
              <w:ind w:left="0" w:right="0" w:hanging="0"/>
              <w:rPr>
                <w:color w:val="231F20"/>
              </w:rPr>
            </w:pPr>
            <w:r>
              <w:rPr>
                <w:color w:val="231F20"/>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75" w:type="dxa"/>
            <w:tcBorders/>
            <w:shd w:fill="auto" w:val="clear"/>
            <w:vAlign w:val="center"/>
          </w:tcPr>
          <w:p>
            <w:pPr>
              <w:pStyle w:val="TableContents"/>
              <w:spacing w:before="0" w:after="1"/>
              <w:ind w:left="0" w:right="0" w:hanging="0"/>
              <w:jc w:val="center"/>
              <w:rPr>
                <w:color w:val="231F20"/>
              </w:rPr>
            </w:pPr>
            <w:r>
              <w:rPr>
                <w:color w:val="231F20"/>
              </w:rPr>
              <w:t>​</w:t>
            </w:r>
          </w:p>
        </w:tc>
        <w:tc>
          <w:tcPr>
            <w:tcW w:w="118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5683"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Numerator:</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52"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75" w:type="dxa"/>
            <w:tcBorders/>
            <w:shd w:fill="CCEEFF" w:val="clear"/>
            <w:vAlign w:val="center"/>
          </w:tcPr>
          <w:p>
            <w:pPr>
              <w:pStyle w:val="TableContents"/>
              <w:spacing w:before="0" w:after="1"/>
              <w:ind w:left="0" w:right="0" w:hanging="0"/>
              <w:rPr/>
            </w:pPr>
            <w:r>
              <w:rPr/>
              <w:t> </w:t>
            </w:r>
          </w:p>
        </w:tc>
        <w:tc>
          <w:tcPr>
            <w:tcW w:w="1187" w:type="dxa"/>
            <w:tcBorders/>
            <w:shd w:fill="CCEEFF" w:val="clear"/>
            <w:vAlign w:val="center"/>
          </w:tcPr>
          <w:p>
            <w:pPr>
              <w:pStyle w:val="TableContents"/>
              <w:spacing w:before="0" w:after="1"/>
              <w:ind w:left="0" w:right="0" w:hanging="0"/>
              <w:jc w:val="right"/>
              <w:rPr/>
            </w:pPr>
            <w:r>
              <w:rPr/>
              <w:t>  </w:t>
            </w:r>
          </w:p>
        </w:tc>
      </w:tr>
      <w:tr>
        <w:trPr/>
        <w:tc>
          <w:tcPr>
            <w:tcW w:w="5683"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Net income attributable to the Company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42,051</w:t>
            </w:r>
          </w:p>
        </w:tc>
        <w:tc>
          <w:tcPr>
            <w:tcW w:w="352"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145,054</w:t>
            </w:r>
          </w:p>
        </w:tc>
        <w:tc>
          <w:tcPr>
            <w:tcW w:w="375" w:type="dxa"/>
            <w:tcBorders/>
            <w:shd w:fill="auto" w:val="clear"/>
            <w:vAlign w:val="center"/>
          </w:tcPr>
          <w:p>
            <w:pPr>
              <w:pStyle w:val="TableContents"/>
              <w:spacing w:before="0" w:after="1"/>
              <w:ind w:left="0" w:right="0" w:hanging="0"/>
              <w:rPr>
                <w:color w:val="231F20"/>
              </w:rPr>
            </w:pPr>
            <w:r>
              <w:rPr>
                <w:color w:val="231F20"/>
              </w:rPr>
              <w:t> </w:t>
            </w:r>
          </w:p>
        </w:tc>
        <w:tc>
          <w:tcPr>
            <w:tcW w:w="1187"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98,099</w:t>
            </w:r>
          </w:p>
        </w:tc>
      </w:tr>
      <w:tr>
        <w:trPr/>
        <w:tc>
          <w:tcPr>
            <w:tcW w:w="5683"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Accretion to the redemption value of redeemable Class A ordinary shares</w:t>
            </w:r>
            <w:r>
              <w:rPr>
                <w:rFonts w:ascii="Times New Roman;Times;serif" w:hAnsi="Times New Roman;Times;serif"/>
                <w:color w:val="231F20"/>
                <w:sz w:val="15"/>
              </w:rPr>
              <w:t>(i)</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(52,881)</w:t>
            </w:r>
          </w:p>
        </w:tc>
        <w:tc>
          <w:tcPr>
            <w:tcW w:w="352" w:type="dxa"/>
            <w:tcBorders/>
            <w:shd w:fill="CCEEFF" w:val="clear"/>
            <w:vAlign w:val="center"/>
          </w:tcPr>
          <w:p>
            <w:pPr>
              <w:pStyle w:val="TableContents"/>
              <w:spacing w:before="0" w:after="1"/>
              <w:ind w:left="0" w:right="0" w:hanging="0"/>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(15,115)</w:t>
            </w:r>
          </w:p>
        </w:tc>
        <w:tc>
          <w:tcPr>
            <w:tcW w:w="375" w:type="dxa"/>
            <w:tcBorders/>
            <w:shd w:fill="CCEEFF" w:val="clear"/>
            <w:vAlign w:val="center"/>
          </w:tcPr>
          <w:p>
            <w:pPr>
              <w:pStyle w:val="TableContents"/>
              <w:spacing w:before="0" w:after="1"/>
              <w:ind w:left="0" w:right="0" w:hanging="0"/>
              <w:rPr>
                <w:color w:val="231F20"/>
              </w:rPr>
            </w:pPr>
            <w:r>
              <w:rPr>
                <w:color w:val="231F20"/>
              </w:rPr>
              <w:t> </w:t>
            </w:r>
          </w:p>
        </w:tc>
        <w:tc>
          <w:tcPr>
            <w:tcW w:w="1187"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r>
      <w:tr>
        <w:trPr/>
        <w:tc>
          <w:tcPr>
            <w:tcW w:w="5683"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Net (loss) income available to ordinary shares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(10,830)</w:t>
            </w:r>
          </w:p>
        </w:tc>
        <w:tc>
          <w:tcPr>
            <w:tcW w:w="352"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129,939</w:t>
            </w:r>
          </w:p>
        </w:tc>
        <w:tc>
          <w:tcPr>
            <w:tcW w:w="375" w:type="dxa"/>
            <w:tcBorders/>
            <w:shd w:fill="auto" w:val="clear"/>
            <w:vAlign w:val="center"/>
          </w:tcPr>
          <w:p>
            <w:pPr>
              <w:pStyle w:val="TableContents"/>
              <w:spacing w:before="0" w:after="1"/>
              <w:ind w:left="0" w:right="0" w:hanging="0"/>
              <w:rPr>
                <w:color w:val="231F20"/>
              </w:rPr>
            </w:pPr>
            <w:r>
              <w:rPr>
                <w:color w:val="231F20"/>
              </w:rPr>
              <w:t> </w:t>
            </w:r>
          </w:p>
        </w:tc>
        <w:tc>
          <w:tcPr>
            <w:tcW w:w="118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98,099</w:t>
            </w:r>
          </w:p>
        </w:tc>
      </w:tr>
      <w:tr>
        <w:trPr/>
        <w:tc>
          <w:tcPr>
            <w:tcW w:w="5683"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Denominator:</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52"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75" w:type="dxa"/>
            <w:tcBorders/>
            <w:shd w:fill="CCEEFF" w:val="clear"/>
            <w:vAlign w:val="center"/>
          </w:tcPr>
          <w:p>
            <w:pPr>
              <w:pStyle w:val="TableContents"/>
              <w:spacing w:before="0" w:after="1"/>
              <w:ind w:left="0" w:right="0" w:hanging="0"/>
              <w:rPr/>
            </w:pPr>
            <w:r>
              <w:rPr/>
              <w:t> </w:t>
            </w:r>
          </w:p>
        </w:tc>
        <w:tc>
          <w:tcPr>
            <w:tcW w:w="1187" w:type="dxa"/>
            <w:tcBorders/>
            <w:shd w:fill="CCEEFF" w:val="clear"/>
            <w:vAlign w:val="center"/>
          </w:tcPr>
          <w:p>
            <w:pPr>
              <w:pStyle w:val="TableContents"/>
              <w:spacing w:before="0" w:after="1"/>
              <w:ind w:left="0" w:right="0" w:hanging="0"/>
              <w:jc w:val="right"/>
              <w:rPr/>
            </w:pPr>
            <w:r>
              <w:rPr/>
              <w:t>​</w:t>
            </w:r>
          </w:p>
        </w:tc>
      </w:tr>
      <w:tr>
        <w:trPr/>
        <w:tc>
          <w:tcPr>
            <w:tcW w:w="5683"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Weighted average number of ordinary shares (for basic calculation)</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171,589,918</w:t>
            </w:r>
          </w:p>
        </w:tc>
        <w:tc>
          <w:tcPr>
            <w:tcW w:w="352" w:type="dxa"/>
            <w:tcBorders/>
            <w:shd w:fill="auto" w:val="clear"/>
            <w:vAlign w:val="center"/>
          </w:tcPr>
          <w:p>
            <w:pPr>
              <w:pStyle w:val="TableContents"/>
              <w:spacing w:before="0" w:after="1"/>
              <w:ind w:left="0" w:right="0" w:hanging="0"/>
              <w:rPr>
                <w:color w:val="231F20"/>
              </w:rPr>
            </w:pPr>
            <w:r>
              <w:rPr>
                <w:color w:val="231F20"/>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323,163,367</w:t>
            </w:r>
          </w:p>
        </w:tc>
        <w:tc>
          <w:tcPr>
            <w:tcW w:w="375" w:type="dxa"/>
            <w:tcBorders/>
            <w:shd w:fill="auto" w:val="clear"/>
            <w:vAlign w:val="center"/>
          </w:tcPr>
          <w:p>
            <w:pPr>
              <w:pStyle w:val="TableContents"/>
              <w:spacing w:lineRule="auto" w:line="240" w:before="0" w:after="1"/>
              <w:ind w:left="0" w:right="0" w:hanging="0"/>
              <w:rPr>
                <w:rFonts w:ascii="Times New Roman;Times;serif" w:hAnsi="Times New Roman;Times;serif"/>
                <w:color w:val="231F20"/>
                <w:sz w:val="15"/>
              </w:rPr>
            </w:pPr>
            <w:r>
              <w:rPr>
                <w:rFonts w:ascii="Times New Roman;Times;serif" w:hAnsi="Times New Roman;Times;serif"/>
                <w:color w:val="231F20"/>
                <w:sz w:val="15"/>
              </w:rPr>
              <w:t>(iii)  </w:t>
            </w:r>
          </w:p>
        </w:tc>
        <w:tc>
          <w:tcPr>
            <w:tcW w:w="11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379,321,522</w:t>
            </w:r>
          </w:p>
        </w:tc>
      </w:tr>
      <w:tr>
        <w:trPr/>
        <w:tc>
          <w:tcPr>
            <w:tcW w:w="5683" w:type="dxa"/>
            <w:tcBorders/>
            <w:shd w:fill="CCEEFF" w:val="clear"/>
            <w:vAlign w:val="center"/>
          </w:tcPr>
          <w:p>
            <w:pPr>
              <w:pStyle w:val="TableContents"/>
              <w:pBdr/>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Effect of dilutive share-based awards</w:t>
            </w:r>
            <w:r>
              <w:rPr>
                <w:rFonts w:ascii="Times New Roman;Times;serif" w:hAnsi="Times New Roman;Times;serif"/>
                <w:color w:val="231F20"/>
                <w:sz w:val="15"/>
              </w:rPr>
              <w:t>(iv)</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c>
          <w:tcPr>
            <w:tcW w:w="352" w:type="dxa"/>
            <w:tcBorders/>
            <w:shd w:fill="CCEEFF" w:val="clear"/>
            <w:vAlign w:val="center"/>
          </w:tcPr>
          <w:p>
            <w:pPr>
              <w:pStyle w:val="TableContents"/>
              <w:spacing w:before="0" w:after="1"/>
              <w:ind w:left="0" w:right="0" w:hanging="0"/>
              <w:rPr>
                <w:color w:val="231F20"/>
              </w:rPr>
            </w:pPr>
            <w:r>
              <w:rPr>
                <w:color w:val="231F20"/>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c>
          <w:tcPr>
            <w:tcW w:w="375" w:type="dxa"/>
            <w:tcBorders/>
            <w:shd w:fill="CCEEFF" w:val="clear"/>
            <w:vAlign w:val="center"/>
          </w:tcPr>
          <w:p>
            <w:pPr>
              <w:pStyle w:val="TableContents"/>
              <w:spacing w:before="0" w:after="1"/>
              <w:ind w:left="0" w:right="0" w:hanging="0"/>
              <w:rPr>
                <w:color w:val="231F20"/>
              </w:rPr>
            </w:pPr>
            <w:r>
              <w:rPr>
                <w:color w:val="231F20"/>
              </w:rPr>
              <w:t> </w:t>
            </w:r>
          </w:p>
        </w:tc>
        <w:tc>
          <w:tcPr>
            <w:tcW w:w="11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2,277,167</w:t>
            </w:r>
          </w:p>
        </w:tc>
      </w:tr>
      <w:tr>
        <w:trPr/>
        <w:tc>
          <w:tcPr>
            <w:tcW w:w="5683"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Weighted average number of ordinary shares and dilutive potential ordinary shares outstanding (for diluted calculation)</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171,589,918</w:t>
            </w:r>
          </w:p>
        </w:tc>
        <w:tc>
          <w:tcPr>
            <w:tcW w:w="352" w:type="dxa"/>
            <w:tcBorders/>
            <w:shd w:fill="auto" w:val="clear"/>
            <w:vAlign w:val="center"/>
          </w:tcPr>
          <w:p>
            <w:pPr>
              <w:pStyle w:val="TableContents"/>
              <w:spacing w:lineRule="auto" w:line="240" w:before="0" w:after="1"/>
              <w:ind w:left="0" w:right="0" w:hanging="0"/>
              <w:rPr>
                <w:rFonts w:ascii="Times New Roman;Times;serif" w:hAnsi="Times New Roman;Times;serif"/>
                <w:color w:val="231F20"/>
                <w:sz w:val="15"/>
              </w:rPr>
            </w:pPr>
            <w:r>
              <w:rPr>
                <w:rFonts w:ascii="Times New Roman;Times;serif" w:hAnsi="Times New Roman;Times;serif"/>
                <w:color w:val="231F20"/>
                <w:sz w:val="15"/>
              </w:rPr>
              <w:t>(ii)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323,163,367</w:t>
            </w:r>
          </w:p>
        </w:tc>
        <w:tc>
          <w:tcPr>
            <w:tcW w:w="375" w:type="dxa"/>
            <w:tcBorders/>
            <w:shd w:fill="auto" w:val="clear"/>
            <w:vAlign w:val="center"/>
          </w:tcPr>
          <w:p>
            <w:pPr>
              <w:pStyle w:val="TableContents"/>
              <w:spacing w:before="0" w:after="1"/>
              <w:ind w:left="0" w:right="0" w:hanging="0"/>
              <w:rPr>
                <w:color w:val="231F20"/>
              </w:rPr>
            </w:pPr>
            <w:r>
              <w:rPr>
                <w:color w:val="231F20"/>
              </w:rPr>
              <w:t> </w:t>
            </w:r>
          </w:p>
        </w:tc>
        <w:tc>
          <w:tcPr>
            <w:tcW w:w="118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381,598,689</w:t>
            </w:r>
          </w:p>
        </w:tc>
      </w:tr>
      <w:tr>
        <w:trPr/>
        <w:tc>
          <w:tcPr>
            <w:tcW w:w="5683"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Basic net (loss) income per ordinary share (in RMB)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(0.06)</w:t>
            </w:r>
          </w:p>
        </w:tc>
        <w:tc>
          <w:tcPr>
            <w:tcW w:w="352" w:type="dxa"/>
            <w:tcBorders/>
            <w:shd w:fill="CCEEFF" w:val="clear"/>
            <w:vAlign w:val="center"/>
          </w:tcPr>
          <w:p>
            <w:pPr>
              <w:pStyle w:val="TableContents"/>
              <w:spacing w:before="0" w:after="1"/>
              <w:ind w:left="0" w:right="0" w:hanging="0"/>
              <w:rPr>
                <w:color w:val="231F20"/>
              </w:rPr>
            </w:pPr>
            <w:r>
              <w:rPr>
                <w:color w:val="231F20"/>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0.40</w:t>
            </w:r>
          </w:p>
        </w:tc>
        <w:tc>
          <w:tcPr>
            <w:tcW w:w="375" w:type="dxa"/>
            <w:tcBorders/>
            <w:shd w:fill="CCEEFF" w:val="clear"/>
            <w:vAlign w:val="center"/>
          </w:tcPr>
          <w:p>
            <w:pPr>
              <w:pStyle w:val="TableContents"/>
              <w:spacing w:before="0" w:after="1"/>
              <w:ind w:left="0" w:right="0" w:hanging="0"/>
              <w:rPr>
                <w:color w:val="231F20"/>
              </w:rPr>
            </w:pPr>
            <w:r>
              <w:rPr>
                <w:color w:val="231F20"/>
              </w:rPr>
              <w:t> </w:t>
            </w:r>
          </w:p>
        </w:tc>
        <w:tc>
          <w:tcPr>
            <w:tcW w:w="118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w:t>
            </w:r>
          </w:p>
        </w:tc>
      </w:tr>
      <w:tr>
        <w:trPr/>
        <w:tc>
          <w:tcPr>
            <w:tcW w:w="5683"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Diluted net (loss) income per ordinary share (in RMB)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(0.06)</w:t>
            </w:r>
          </w:p>
        </w:tc>
        <w:tc>
          <w:tcPr>
            <w:tcW w:w="352" w:type="dxa"/>
            <w:tcBorders/>
            <w:shd w:fill="auto" w:val="clear"/>
            <w:vAlign w:val="center"/>
          </w:tcPr>
          <w:p>
            <w:pPr>
              <w:pStyle w:val="TableContents"/>
              <w:spacing w:before="0" w:after="1"/>
              <w:ind w:left="0" w:right="0" w:hanging="0"/>
              <w:rPr>
                <w:color w:val="231F20"/>
              </w:rPr>
            </w:pPr>
            <w:r>
              <w:rPr>
                <w:color w:val="231F20"/>
              </w:rPr>
              <w:t> </w:t>
            </w:r>
          </w:p>
        </w:tc>
        <w:tc>
          <w:tcPr>
            <w:tcW w:w="1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0.40</w:t>
            </w:r>
          </w:p>
        </w:tc>
        <w:tc>
          <w:tcPr>
            <w:tcW w:w="375" w:type="dxa"/>
            <w:tcBorders/>
            <w:shd w:fill="auto" w:val="clear"/>
            <w:vAlign w:val="center"/>
          </w:tcPr>
          <w:p>
            <w:pPr>
              <w:pStyle w:val="TableContents"/>
              <w:spacing w:before="0" w:after="1"/>
              <w:ind w:left="0" w:right="0" w:hanging="0"/>
              <w:rPr>
                <w:color w:val="231F20"/>
              </w:rPr>
            </w:pPr>
            <w:r>
              <w:rPr>
                <w:color w:val="231F20"/>
              </w:rPr>
              <w:t> </w:t>
            </w:r>
          </w:p>
        </w:tc>
        <w:tc>
          <w:tcPr>
            <w:tcW w:w="11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0.26</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w:t>
            </w:r>
          </w:p>
        </w:tc>
        <w:tc>
          <w:tcPr>
            <w:tcW w:w="99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 the accretion to the redemption value of Series C shares of Atour Shanghai prior to the termination of the preference rights of certain shareholders on April 8, 2021 (see Note 12).</w:t>
            </w:r>
          </w:p>
        </w:tc>
      </w:tr>
    </w:tbl>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(ii)</w:t>
            </w:r>
          </w:p>
        </w:tc>
        <w:tc>
          <w:tcPr>
            <w:tcW w:w="98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 ended December 31, 2020, Series A, B and C shares of Atour Shanghai prior to Restructuring were excluded from the calculation of diluted income per ordinary share as their inclusion would have been anti-dilutive.</w:t>
            </w:r>
          </w:p>
        </w:tc>
      </w:tr>
    </w:tbl>
    <w:tbl>
      <w:tblPr>
        <w:tblW w:w="10205" w:type="dxa"/>
        <w:jc w:val="left"/>
        <w:tblInd w:w="0" w:type="dxa"/>
        <w:tblCellMar>
          <w:top w:w="0" w:type="dxa"/>
          <w:left w:w="0" w:type="dxa"/>
          <w:bottom w:w="0" w:type="dxa"/>
          <w:right w:w="0" w:type="dxa"/>
        </w:tblCellMar>
      </w:tblPr>
      <w:tblGrid>
        <w:gridCol w:w="350"/>
        <w:gridCol w:w="9855"/>
      </w:tblGrid>
      <w:tr>
        <w:trPr/>
        <w:tc>
          <w:tcPr>
            <w:tcW w:w="35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(iii)</w:t>
            </w:r>
          </w:p>
        </w:tc>
        <w:tc>
          <w:tcPr>
            <w:tcW w:w="985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6"/>
              </w:rPr>
              <w:t>For the year ended December 31, 2021, 214,203,200</w:t>
            </w:r>
            <w:r>
              <w:rPr>
                <w:caps w:val="false"/>
                <w:smallCaps w:val="false"/>
              </w:rPr>
              <w:t xml:space="preserve"> </w:t>
            </w:r>
            <w:r>
              <w:rPr>
                <w:rFonts w:ascii="Times New Roman;Times;serif" w:hAnsi="Times New Roman;Times;serif"/>
                <w:b w:val="false"/>
                <w:i w:val="false"/>
                <w:caps w:val="false"/>
                <w:smallCaps w:val="false"/>
                <w:sz w:val="16"/>
              </w:rPr>
              <w:t>ordinary shares were included in the denominator in the calculation of basic income per ordinary share to give the effect of the termination of preference rights on April 8, 2021.</w:t>
            </w:r>
          </w:p>
        </w:tc>
      </w:tr>
    </w:tbl>
    <w:tbl>
      <w:tblPr>
        <w:tblW w:w="10205" w:type="dxa"/>
        <w:jc w:val="left"/>
        <w:tblInd w:w="0" w:type="dxa"/>
        <w:tblCellMar>
          <w:top w:w="0" w:type="dxa"/>
          <w:left w:w="0" w:type="dxa"/>
          <w:bottom w:w="0" w:type="dxa"/>
          <w:right w:w="0" w:type="dxa"/>
        </w:tblCellMar>
      </w:tblPr>
      <w:tblGrid>
        <w:gridCol w:w="330"/>
        <w:gridCol w:w="9875"/>
      </w:tblGrid>
      <w:tr>
        <w:trPr/>
        <w:tc>
          <w:tcPr>
            <w:tcW w:w="33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(iv)</w:t>
            </w:r>
          </w:p>
        </w:tc>
        <w:tc>
          <w:tcPr>
            <w:tcW w:w="987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6"/>
              </w:rPr>
              <w:t>For the years ended December 31, 2020 and 2021, 11,663,920</w:t>
            </w:r>
            <w:r>
              <w:rPr>
                <w:caps w:val="false"/>
                <w:smallCaps w:val="false"/>
              </w:rPr>
              <w:t xml:space="preserve"> </w:t>
            </w:r>
            <w:r>
              <w:rPr>
                <w:rFonts w:ascii="Times New Roman;Times;serif" w:hAnsi="Times New Roman;Times;serif"/>
                <w:b w:val="false"/>
                <w:i w:val="false"/>
                <w:caps w:val="false"/>
                <w:smallCaps w:val="false"/>
                <w:sz w:val="16"/>
              </w:rPr>
              <w:t>and 17,740,297</w:t>
            </w:r>
            <w:r>
              <w:rPr>
                <w:caps w:val="false"/>
                <w:smallCaps w:val="false"/>
              </w:rPr>
              <w:t xml:space="preserve"> </w:t>
            </w:r>
            <w:r>
              <w:rPr>
                <w:rFonts w:ascii="Times New Roman;Times;serif" w:hAnsi="Times New Roman;Times;serif"/>
                <w:b w:val="false"/>
                <w:i w:val="false"/>
                <w:caps w:val="false"/>
                <w:smallCaps w:val="false"/>
                <w:sz w:val="16"/>
              </w:rPr>
              <w:t>share options were excluded from the calculation of diluted net income per ordinary share, respectively, as their vesting is contingent upon the satisfaction of a performance condition (i.e. completion of a Qualified IPO), which is not considered probable until the event occurs. For the year ended December 31, 2022, 660,000</w:t>
            </w:r>
            <w:r>
              <w:rPr>
                <w:caps w:val="false"/>
                <w:smallCaps w:val="false"/>
              </w:rPr>
              <w:t xml:space="preserve"> </w:t>
            </w:r>
            <w:r>
              <w:rPr>
                <w:rFonts w:ascii="Times New Roman;Times;serif" w:hAnsi="Times New Roman;Times;serif"/>
                <w:b w:val="false"/>
                <w:i w:val="false"/>
                <w:caps w:val="false"/>
                <w:smallCaps w:val="false"/>
                <w:sz w:val="16"/>
              </w:rPr>
              <w:t>share options were excluded from the calculation of diluted net income per ordinary share as their effects would have been anti-dilutive.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154" w:name="Tc_w4kpYCpKr06zZ4HimL6MRQ_11_0"/>
      <w:bookmarkStart w:id="2155" w:name="Tc_skLJRDoBkUmNBywMPuAOLQ_10_0"/>
      <w:bookmarkStart w:id="2156" w:name="Tc_8_FHpgaTg0mIQc-3sC8L2w_9_8"/>
      <w:bookmarkStart w:id="2157" w:name="Tc_9ODmvfU320KgnV1UfdVqiQ_9_6"/>
      <w:bookmarkStart w:id="2158" w:name="Tc_7LE87inv70uxBpuEd7QIAA_9_0"/>
      <w:bookmarkStart w:id="2159" w:name="Tc_T7UJwI6XO0uVNPKtlgZvKw_8_8"/>
      <w:bookmarkStart w:id="2160" w:name="Tc_TVQo5IszzEmSl4-VsJArIA_8_6"/>
      <w:bookmarkStart w:id="2161" w:name="Tc_I0l95MqmVUi6keEzuD0guA_8_0"/>
      <w:bookmarkStart w:id="2162" w:name="Tc_YGIYESroLkSxNdKg4YzVbw_7_8"/>
      <w:bookmarkStart w:id="2163" w:name="Tc_WjT6lGPvnEicygER_pfL1w_7_6"/>
      <w:bookmarkStart w:id="2164" w:name="Tc_3kRW4HeQ_0SZ-0kd8qQVnQ_7_0"/>
      <w:bookmarkStart w:id="2165" w:name="Tc_Xz7nDT2cWk6dHnLk5-0SFw_6_0"/>
      <w:bookmarkStart w:id="2166" w:name="Tc_u0Bhtsb2REiYTjx_Uzxt7g_5_0"/>
      <w:bookmarkStart w:id="2167" w:name="Tc_Opl9fYT_wkO8wYP8Co7f1w_4_8"/>
      <w:bookmarkStart w:id="2168" w:name="Tc_PX--B-S5mUiVHzMW0i_W9w_4_4"/>
      <w:bookmarkStart w:id="2169" w:name="Tc_Z-N-clc6F0Kq9r2HcG1lPg_3_8"/>
      <w:bookmarkStart w:id="2170" w:name="Tc_Lv6WxhV1IUSEUCrnqzqKTQ_3_6"/>
      <w:bookmarkStart w:id="2171" w:name="Tc_PKV0OchK-0CkY3cr-6SGbA_3_4"/>
      <w:bookmarkStart w:id="2172" w:name="Tc_4HFTAxDMXkaP6JGfyrfLKA_3_2"/>
      <w:bookmarkStart w:id="2173" w:name="Tc_EWoTdRPqBEOmFKpDJT01-g_2_8"/>
      <w:bookmarkStart w:id="2174" w:name="Tc_rxY8z19ef0KF13ucpsqOWg_2_6"/>
      <w:bookmarkStart w:id="2175" w:name="Tc_cE0RPOEDWUiR4OGelIOCqA_2_4"/>
      <w:bookmarkStart w:id="2176" w:name="Tc_7s5Arwj2hkWioNw9Dgkg4Q_2_2"/>
      <w:bookmarkStart w:id="2177" w:name="Tc_XhzeaMxY_0OthoMXpsBrUg_1_8"/>
      <w:bookmarkStart w:id="2178" w:name="Tc_Gjuh-NQnDESX7U4RSQucIA_1_4"/>
      <w:bookmarkStart w:id="2179" w:name="Tc_w4kpYCpKr06zZ4HimL6MRQ_11_0"/>
      <w:bookmarkStart w:id="2180" w:name="Tc_skLJRDoBkUmNBywMPuAOLQ_10_0"/>
      <w:bookmarkStart w:id="2181" w:name="Tc_8_FHpgaTg0mIQc-3sC8L2w_9_8"/>
      <w:bookmarkStart w:id="2182" w:name="Tc_9ODmvfU320KgnV1UfdVqiQ_9_6"/>
      <w:bookmarkStart w:id="2183" w:name="Tc_7LE87inv70uxBpuEd7QIAA_9_0"/>
      <w:bookmarkStart w:id="2184" w:name="Tc_T7UJwI6XO0uVNPKtlgZvKw_8_8"/>
      <w:bookmarkStart w:id="2185" w:name="Tc_TVQo5IszzEmSl4-VsJArIA_8_6"/>
      <w:bookmarkStart w:id="2186" w:name="Tc_I0l95MqmVUi6keEzuD0guA_8_0"/>
      <w:bookmarkStart w:id="2187" w:name="Tc_YGIYESroLkSxNdKg4YzVbw_7_8"/>
      <w:bookmarkStart w:id="2188" w:name="Tc_WjT6lGPvnEicygER_pfL1w_7_6"/>
      <w:bookmarkStart w:id="2189" w:name="Tc_3kRW4HeQ_0SZ-0kd8qQVnQ_7_0"/>
      <w:bookmarkStart w:id="2190" w:name="Tc_Xz7nDT2cWk6dHnLk5-0SFw_6_0"/>
      <w:bookmarkStart w:id="2191" w:name="Tc_u0Bhtsb2REiYTjx_Uzxt7g_5_0"/>
      <w:bookmarkStart w:id="2192" w:name="Tc_Opl9fYT_wkO8wYP8Co7f1w_4_8"/>
      <w:bookmarkStart w:id="2193" w:name="Tc_PX--B-S5mUiVHzMW0i_W9w_4_4"/>
      <w:bookmarkStart w:id="2194" w:name="Tc_Z-N-clc6F0Kq9r2HcG1lPg_3_8"/>
      <w:bookmarkStart w:id="2195" w:name="Tc_Lv6WxhV1IUSEUCrnqzqKTQ_3_6"/>
      <w:bookmarkStart w:id="2196" w:name="Tc_PKV0OchK-0CkY3cr-6SGbA_3_4"/>
      <w:bookmarkStart w:id="2197" w:name="Tc_4HFTAxDMXkaP6JGfyrfLKA_3_2"/>
      <w:bookmarkStart w:id="2198" w:name="Tc_EWoTdRPqBEOmFKpDJT01-g_2_8"/>
      <w:bookmarkStart w:id="2199" w:name="Tc_rxY8z19ef0KF13ucpsqOWg_2_6"/>
      <w:bookmarkStart w:id="2200" w:name="Tc_cE0RPOEDWUiR4OGelIOCqA_2_4"/>
      <w:bookmarkStart w:id="2201" w:name="Tc_7s5Arwj2hkWioNw9Dgkg4Q_2_2"/>
      <w:bookmarkStart w:id="2202" w:name="Tc_XhzeaMxY_0OthoMXpsBrUg_1_8"/>
      <w:bookmarkStart w:id="2203" w:name="Tc_Gjuh-NQnDESX7U4RSQucIA_1_4"/>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p>
    <w:tbl>
      <w:tblPr>
        <w:tblW w:w="2762" w:type="dxa"/>
        <w:jc w:val="left"/>
        <w:tblInd w:w="0" w:type="dxa"/>
        <w:tblCellMar>
          <w:top w:w="0" w:type="dxa"/>
          <w:left w:w="0" w:type="dxa"/>
          <w:bottom w:w="0" w:type="dxa"/>
          <w:right w:w="0" w:type="dxa"/>
        </w:tblCellMar>
      </w:tblPr>
      <w:tblGrid>
        <w:gridCol w:w="376"/>
        <w:gridCol w:w="238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15.</w:t>
            </w:r>
          </w:p>
        </w:tc>
        <w:tc>
          <w:tcPr>
            <w:tcW w:w="238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Share based compensation</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accordance with the share incentive plan adopted in 2017 (“2017 Share Incentive Plan”), 51,200,000 ordinary shares were reserved to for issuance to selected persons including its directors, employees and consultants.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2017 Share Incentive Plan, share options granted contain a performance condition such that the awards only vest upon the completion of a Qualified IPO. For employees who terminate the employment before the completion of a Qualified IPO, the share options granted are forfeited upon the termination of employment. Options granted under the 2017 Share Incentive Plan are valid and effective for 10 years from the grant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March 2021, the Company’s board of directors approved a new share incentive plan (“Public Company Plan”), 51,029,546 ordinary shares were reserved for issuance to selected persons including its directors, employees and consultants. The unvested portion of share options, representing 14,196,882 share options granted under the 2017 Share Incentive Plan (“Original Awards”) were replaced by the options granted under Public Company Plan (“Modified Awards”) in April 2021, with the terms of the Modified Awards substantially the same as those of the Original Awards. The replacement of the unvested share options in April 2021 was accounted for as modifications of share-based compensation. The Company evaluated the fair value of share options immediately before and after the modification and there was no incremental share-based compensation expense as a result of the modification.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Under the Public Company Plan, share options granted prior to the IPO either 1) vest upon the completion of a Qualified IPO or 2) have a graded vesting schedules 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and vest upon completion of a Qualified IPO. Share options granted post IPO either vest upon grant or vest by a graded vesting schedule 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Options granted are valid and effective for 10 years from the grant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summary of activities of the share options for the year ended December 31, 2022 is presented below:</w:t>
      </w:r>
    </w:p>
    <w:p>
      <w:pPr>
        <w:pStyle w:val="TextBody"/>
        <w:spacing w:before="0" w:after="0"/>
        <w:ind w:left="0" w:right="0" w:hanging="0"/>
        <w:rPr/>
      </w:pPr>
      <w:r>
        <w:rPr/>
        <w:t>​</w:t>
      </w:r>
    </w:p>
    <w:tbl>
      <w:tblPr>
        <w:tblW w:w="9154" w:type="dxa"/>
        <w:jc w:val="left"/>
        <w:tblInd w:w="0" w:type="dxa"/>
        <w:tblCellMar>
          <w:top w:w="0" w:type="dxa"/>
          <w:left w:w="0" w:type="dxa"/>
          <w:bottom w:w="0" w:type="dxa"/>
          <w:right w:w="0" w:type="dxa"/>
        </w:tblCellMar>
      </w:tblPr>
      <w:tblGrid>
        <w:gridCol w:w="3151"/>
        <w:gridCol w:w="326"/>
        <w:gridCol w:w="1066"/>
        <w:gridCol w:w="326"/>
        <w:gridCol w:w="1081"/>
        <w:gridCol w:w="326"/>
        <w:gridCol w:w="1576"/>
        <w:gridCol w:w="326"/>
        <w:gridCol w:w="976"/>
      </w:tblGrid>
      <w:tr>
        <w:trPr/>
        <w:tc>
          <w:tcPr>
            <w:tcW w:w="3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00885" cy="175260"/>
                      <wp:effectExtent l="0" t="0" r="0" b="0"/>
                      <wp:wrapNone/>
                      <wp:docPr id="550" name="Frame542"/>
                      <a:graphic xmlns:a="http://schemas.openxmlformats.org/drawingml/2006/main">
                        <a:graphicData uri="http://schemas.microsoft.com/office/word/2010/wordprocessingShape">
                          <wps:wsp>
                            <wps:cNvSpPr txBox="1"/>
                            <wps:spPr>
                              <a:xfrm>
                                <a:off x="0" y="0"/>
                                <a:ext cx="2000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76910" cy="175260"/>
                      <wp:effectExtent l="0" t="0" r="0" b="0"/>
                      <wp:wrapNone/>
                      <wp:docPr id="552" name="Frame544"/>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86435" cy="175260"/>
                      <wp:effectExtent l="0" t="0" r="0" b="0"/>
                      <wp:wrapNone/>
                      <wp:docPr id="554" name="Frame546"/>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000760" cy="175260"/>
                      <wp:effectExtent l="0" t="0" r="0" b="0"/>
                      <wp:wrapNone/>
                      <wp:docPr id="556" name="Frame548"/>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7" name="Frame5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19760" cy="175260"/>
                      <wp:effectExtent l="0" t="0" r="0" b="0"/>
                      <wp:wrapNone/>
                      <wp:docPr id="558" name="Frame55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066" w:type="dxa"/>
            <w:tcBorders/>
            <w:shd w:fill="auto" w:val="clear"/>
            <w:vAlign w:val="center"/>
          </w:tcPr>
          <w:p>
            <w:pPr>
              <w:pStyle w:val="TableContents"/>
              <w:spacing w:before="0" w:after="1"/>
              <w:ind w:left="0" w:right="0" w:hanging="0"/>
              <w:jc w:val="center"/>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Weighted</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576" w:type="dxa"/>
            <w:tcBorders/>
            <w:shd w:fill="auto" w:val="clear"/>
            <w:vAlign w:val="center"/>
          </w:tcPr>
          <w:p>
            <w:pPr>
              <w:pStyle w:val="TableContents"/>
              <w:spacing w:before="0" w:after="1"/>
              <w:ind w:left="0" w:right="0" w:hanging="0"/>
              <w:jc w:val="center"/>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Aggregate</w:t>
            </w:r>
          </w:p>
        </w:tc>
      </w:tr>
      <w:tr>
        <w:trPr/>
        <w:tc>
          <w:tcPr>
            <w:tcW w:w="315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 of </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average </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57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Weighted remaining</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intrinsic</w:t>
            </w:r>
          </w:p>
        </w:tc>
      </w:tr>
      <w:tr>
        <w:trPr/>
        <w:tc>
          <w:tcPr>
            <w:tcW w:w="315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 options</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exercise price</w:t>
            </w:r>
          </w:p>
        </w:tc>
        <w:tc>
          <w:tcPr>
            <w:tcW w:w="326" w:type="dxa"/>
            <w:tcBorders/>
            <w:shd w:fill="auto" w:val="clear"/>
            <w:vAlign w:val="center"/>
          </w:tcPr>
          <w:p>
            <w:pPr>
              <w:pStyle w:val="TableContents"/>
              <w:spacing w:before="0" w:after="1"/>
              <w:ind w:left="0" w:right="0" w:hanging="0"/>
              <w:jc w:val="center"/>
              <w:rPr/>
            </w:pPr>
            <w:r>
              <w:rPr/>
              <w:t>​</w:t>
            </w:r>
          </w:p>
        </w:tc>
        <w:tc>
          <w:tcPr>
            <w:tcW w:w="15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contractual years</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value</w:t>
            </w:r>
          </w:p>
        </w:tc>
      </w:tr>
      <w:tr>
        <w:trPr/>
        <w:tc>
          <w:tcPr>
            <w:tcW w:w="315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066" w:type="dxa"/>
            <w:tcBorders/>
            <w:shd w:fill="auto" w:val="clear"/>
            <w:vAlign w:val="center"/>
          </w:tcPr>
          <w:p>
            <w:pPr>
              <w:pStyle w:val="TableContents"/>
              <w:spacing w:before="0" w:after="1"/>
              <w:ind w:left="0" w:right="0" w:hanging="0"/>
              <w:jc w:val="center"/>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15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15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Outstanding at January 1, 2022</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17,740,297</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5.06</w:t>
            </w:r>
          </w:p>
        </w:tc>
        <w:tc>
          <w:tcPr>
            <w:tcW w:w="326" w:type="dxa"/>
            <w:tcBorders/>
            <w:shd w:fill="CCEEFF" w:val="clear"/>
            <w:vAlign w:val="center"/>
          </w:tcPr>
          <w:p>
            <w:pPr>
              <w:pStyle w:val="TableContents"/>
              <w:spacing w:before="0" w:after="1"/>
              <w:ind w:left="0" w:right="0" w:hanging="0"/>
              <w:rPr/>
            </w:pPr>
            <w:r>
              <w:rPr/>
              <w:t> </w:t>
            </w:r>
          </w:p>
        </w:tc>
        <w:tc>
          <w:tcPr>
            <w:tcW w:w="157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9.24</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473,237</w:t>
            </w:r>
          </w:p>
        </w:tc>
      </w:tr>
      <w:tr>
        <w:trPr/>
        <w:tc>
          <w:tcPr>
            <w:tcW w:w="315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Grant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066"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08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pPr>
            <w:r>
              <w:rPr/>
              <w:t> </w:t>
            </w:r>
          </w:p>
        </w:tc>
        <w:tc>
          <w:tcPr>
            <w:tcW w:w="157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  </w:t>
            </w:r>
          </w:p>
        </w:tc>
      </w:tr>
      <w:tr>
        <w:trPr/>
        <w:tc>
          <w:tcPr>
            <w:tcW w:w="315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Prior to IPO</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640,095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81"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10.33</w:t>
            </w:r>
          </w:p>
        </w:tc>
        <w:tc>
          <w:tcPr>
            <w:tcW w:w="326" w:type="dxa"/>
            <w:tcBorders/>
            <w:shd w:fill="CCEEFF" w:val="clear"/>
            <w:vAlign w:val="center"/>
          </w:tcPr>
          <w:p>
            <w:pPr>
              <w:pStyle w:val="TableContents"/>
              <w:spacing w:before="0" w:after="1"/>
              <w:ind w:left="0" w:right="0" w:hanging="0"/>
              <w:rPr/>
            </w:pPr>
            <w:r>
              <w:rPr/>
              <w:t> </w:t>
            </w:r>
          </w:p>
        </w:tc>
        <w:tc>
          <w:tcPr>
            <w:tcW w:w="15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pPr>
            <w:r>
              <w:rPr/>
              <w:t>—</w:t>
            </w:r>
          </w:p>
        </w:tc>
      </w:tr>
      <w:tr>
        <w:trPr/>
        <w:tc>
          <w:tcPr>
            <w:tcW w:w="315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Post IPO</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3,628,971</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08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8.41</w:t>
            </w:r>
          </w:p>
        </w:tc>
        <w:tc>
          <w:tcPr>
            <w:tcW w:w="326" w:type="dxa"/>
            <w:tcBorders/>
            <w:shd w:fill="auto" w:val="clear"/>
            <w:vAlign w:val="center"/>
          </w:tcPr>
          <w:p>
            <w:pPr>
              <w:pStyle w:val="TableContents"/>
              <w:spacing w:before="0" w:after="1"/>
              <w:ind w:left="0" w:right="0" w:hanging="0"/>
              <w:rPr/>
            </w:pPr>
            <w:r>
              <w:rPr/>
              <w:t> </w:t>
            </w:r>
          </w:p>
        </w:tc>
        <w:tc>
          <w:tcPr>
            <w:tcW w:w="15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w:t>
            </w:r>
          </w:p>
        </w:tc>
      </w:tr>
      <w:tr>
        <w:trPr/>
        <w:tc>
          <w:tcPr>
            <w:tcW w:w="315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Forfeiture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(564,432)</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5.35</w:t>
            </w:r>
          </w:p>
        </w:tc>
        <w:tc>
          <w:tcPr>
            <w:tcW w:w="326" w:type="dxa"/>
            <w:tcBorders/>
            <w:shd w:fill="CCEEFF" w:val="clear"/>
            <w:vAlign w:val="center"/>
          </w:tcPr>
          <w:p>
            <w:pPr>
              <w:pStyle w:val="TableContents"/>
              <w:spacing w:before="0" w:after="1"/>
              <w:ind w:left="0" w:right="0" w:hanging="0"/>
              <w:rPr/>
            </w:pPr>
            <w:r>
              <w:rPr/>
              <w:t> </w:t>
            </w:r>
          </w:p>
        </w:tc>
        <w:tc>
          <w:tcPr>
            <w:tcW w:w="15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pPr>
            <w:r>
              <w:rPr/>
              <w:t>—</w:t>
            </w:r>
          </w:p>
        </w:tc>
      </w:tr>
      <w:tr>
        <w:trPr/>
        <w:tc>
          <w:tcPr>
            <w:tcW w:w="3151" w:type="dxa"/>
            <w:tcBorders/>
            <w:shd w:fill="auto"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Outstanding at December 31, 2022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0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21,444,931</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0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5.78</w:t>
            </w:r>
          </w:p>
        </w:tc>
        <w:tc>
          <w:tcPr>
            <w:tcW w:w="326" w:type="dxa"/>
            <w:tcBorders/>
            <w:shd w:fill="auto" w:val="clear"/>
            <w:vAlign w:val="center"/>
          </w:tcPr>
          <w:p>
            <w:pPr>
              <w:pStyle w:val="TableContents"/>
              <w:spacing w:before="0" w:after="1"/>
              <w:ind w:left="0" w:right="0" w:hanging="0"/>
              <w:rPr/>
            </w:pPr>
            <w:r>
              <w:rPr/>
              <w:t> </w:t>
            </w:r>
          </w:p>
        </w:tc>
        <w:tc>
          <w:tcPr>
            <w:tcW w:w="15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shd w:fill="auto" w:val="clear"/>
            <w:vAlign w:val="center"/>
          </w:tcPr>
          <w:p>
            <w:pPr>
              <w:pStyle w:val="TableContents"/>
              <w:spacing w:before="0" w:after="1"/>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764,494</w:t>
            </w:r>
          </w:p>
        </w:tc>
      </w:tr>
      <w:tr>
        <w:trPr/>
        <w:tc>
          <w:tcPr>
            <w:tcW w:w="3151" w:type="dxa"/>
            <w:tcBorders/>
            <w:shd w:fill="CCEEFF" w:val="clear"/>
            <w:vAlign w:val="center"/>
          </w:tcPr>
          <w:p>
            <w:pPr>
              <w:pStyle w:val="TableContents"/>
              <w:pBdr/>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xml:space="preserve">Exercisable as of December 31, 2022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19,681,140</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5.52</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5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8.56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9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706,750</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weighted average grant date fair value of the share options granted during the years ended December 31, 2020, 2021 and 2022 was RMB6.02, RMB11.93 and RMB22.32, respectively.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December 31, 2022, RMB29,131 of unrecognized compensation expense related to unvested share options is expected to be recognized over a remaining weighted-average vesting period of approximately 3.09 years. The total fair value at grant date of share options held by the Company's employees that vested during 2022 was RMB158,183.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2204" w:name="Tc_HZzsFUUxPEa5E5QP4mFtZQ_7_0"/>
      <w:bookmarkStart w:id="2205" w:name="Tc_4pNojOVM10magBW7iT9RGg_6_0"/>
      <w:bookmarkStart w:id="2206" w:name="Tc_aHEo1hatUkikz9cRDxZ7yQ_5_0"/>
      <w:bookmarkStart w:id="2207" w:name="Tc_c9OSIMutlE683FpUCD3jGQ_4_0"/>
      <w:bookmarkStart w:id="2208" w:name="Tc_xUyhfsfVN0mYYt5YNVr37g_3_2"/>
      <w:bookmarkStart w:id="2209" w:name="Tc_P9SgML3B3U6iL7d5phbF0A_2_2"/>
      <w:bookmarkStart w:id="2210" w:name="Tc_Cz2dMP3ySE2IIHBNS3xDPg_1_2"/>
      <w:bookmarkStart w:id="2211" w:name="Tc_zB1z1J3cekW1Zcb9QHRQfA_7_0"/>
      <w:bookmarkStart w:id="2212" w:name="Tc_pX1fJC6FzkKjVuSEJOppGw_6_0"/>
      <w:bookmarkStart w:id="2213" w:name="Tc_Mvlq5ryr_UybiOFdY-8MEA_5_6"/>
      <w:bookmarkStart w:id="2214" w:name="Tc_RhhqrTy4X0y09NMzCREWww_5_4"/>
      <w:bookmarkStart w:id="2215" w:name="Tc_9Q3ByiH8zUW9j0XTaxCaFg_5_2"/>
      <w:bookmarkStart w:id="2216" w:name="Tc_OBf7kKNH5kCtFq4m6SmbtA_5_0"/>
      <w:bookmarkStart w:id="2217" w:name="Tc_RfS0wjioVEiXJLZ8gRzqJQ_4_7"/>
      <w:bookmarkStart w:id="2218" w:name="Tc_uZnGgLfkKE27MPjfBnio5g_4_5"/>
      <w:bookmarkStart w:id="2219" w:name="Tc_IXYm3WvH3kufWxfM2PPxgw_4_3"/>
      <w:bookmarkStart w:id="2220" w:name="Tc_hMIQ79CvaUiIoCROu8rqXA_4_0"/>
      <w:bookmarkStart w:id="2221" w:name="Tc_SJHK_8aACUuC4fdaOK8gEw_3_7"/>
      <w:bookmarkStart w:id="2222" w:name="Tc_syBsC-IMFEWBKZlnClmoGw_3_6"/>
      <w:bookmarkStart w:id="2223" w:name="Tc_L0NAyjp56E2aFcaRf39seQ_3_5"/>
      <w:bookmarkStart w:id="2224" w:name="Tc_q9401jEbb06PcXWxsWEYIQ_3_4"/>
      <w:bookmarkStart w:id="2225" w:name="Tc_hb8p1tsnBUyd08mwYRcQqQ_3_3"/>
      <w:bookmarkStart w:id="2226" w:name="Tc_QbQ3Lur30EqPtmaINNdT9g_3_2"/>
      <w:bookmarkStart w:id="2227" w:name="Tc_nsb7sD3gCUmz3_pxoBDYJw_3_0"/>
      <w:bookmarkStart w:id="2228" w:name="Tc_bZ7U_4vhkUWfUFLBCclSfg_2_7"/>
      <w:bookmarkStart w:id="2229" w:name="Tc_8hIvuKIPN0qwaWIj5M0Ymg_2_6"/>
      <w:bookmarkStart w:id="2230" w:name="Tc_d1hdE_eMK0WWowU0uPXxfQ_2_5"/>
      <w:bookmarkStart w:id="2231" w:name="Tc_JalrwRge9ESR7djONxfx8w_2_4"/>
      <w:bookmarkStart w:id="2232" w:name="Tc_kzHxR703gUiTTXETUcYc4Q_2_3"/>
      <w:bookmarkStart w:id="2233" w:name="Tc_ipRclOWCLUiP46piEF7UaQ_2_2"/>
      <w:bookmarkStart w:id="2234" w:name="Tc_6-SpxDxSA0mgOKYqKt2Hwg_2_0"/>
      <w:bookmarkStart w:id="2235" w:name="Tc_8bxLdSZi8USASuRRZSZIwg_1_6"/>
      <w:bookmarkStart w:id="2236" w:name="Tc_Itr5b-P8GUWFC_xkS0IYVg_1_4"/>
      <w:bookmarkStart w:id="2237" w:name="Tc_BfNLuRO_RkSkVSVbYp2rVw_1_2"/>
      <w:bookmarkStart w:id="2238" w:name="_f9e3a625_e3d1_4b01_a7f1_05ef2aafa618"/>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r>
        <w:rPr>
          <w:rFonts w:ascii="Times New Roman;Times;serif" w:hAnsi="Times New Roman;Times;serif"/>
          <w:sz w:val="20"/>
        </w:rPr>
        <w:t>The fair value of the share options granted is estimated on the date of grant using the binomial option pricing model with the following assumptions used.</w:t>
      </w:r>
    </w:p>
    <w:p>
      <w:pPr>
        <w:pStyle w:val="TextBody"/>
        <w:spacing w:before="0" w:after="0"/>
        <w:ind w:left="0" w:right="0" w:hanging="0"/>
        <w:rPr/>
      </w:pPr>
      <w:r>
        <w:rPr/>
        <w:t>​</w:t>
      </w:r>
    </w:p>
    <w:tbl>
      <w:tblPr>
        <w:tblW w:w="8613" w:type="dxa"/>
        <w:jc w:val="left"/>
        <w:tblInd w:w="0" w:type="dxa"/>
        <w:tblCellMar>
          <w:top w:w="0" w:type="dxa"/>
          <w:left w:w="0" w:type="dxa"/>
          <w:bottom w:w="0" w:type="dxa"/>
          <w:right w:w="0" w:type="dxa"/>
        </w:tblCellMar>
      </w:tblPr>
      <w:tblGrid>
        <w:gridCol w:w="3331"/>
        <w:gridCol w:w="326"/>
        <w:gridCol w:w="1306"/>
        <w:gridCol w:w="361"/>
        <w:gridCol w:w="1306"/>
        <w:gridCol w:w="361"/>
        <w:gridCol w:w="1306"/>
        <w:gridCol w:w="316"/>
      </w:tblGrid>
      <w:tr>
        <w:trPr/>
        <w:tc>
          <w:tcPr>
            <w:tcW w:w="3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15185" cy="175260"/>
                      <wp:effectExtent l="0" t="0" r="0" b="0"/>
                      <wp:wrapNone/>
                      <wp:docPr id="559" name="Frame551"/>
                      <a:graphic xmlns:a="http://schemas.openxmlformats.org/drawingml/2006/main">
                        <a:graphicData uri="http://schemas.microsoft.com/office/word/2010/wordprocessingShape">
                          <wps:wsp>
                            <wps:cNvSpPr txBox="1"/>
                            <wps:spPr>
                              <a:xfrm>
                                <a:off x="0" y="0"/>
                                <a:ext cx="2115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829310" cy="175260"/>
                      <wp:effectExtent l="0" t="0" r="0" b="0"/>
                      <wp:wrapNone/>
                      <wp:docPr id="561" name="Frame553"/>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29235" cy="175260"/>
                      <wp:effectExtent l="0" t="0" r="0" b="0"/>
                      <wp:wrapNone/>
                      <wp:docPr id="562" name="Frame55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829310" cy="175260"/>
                      <wp:effectExtent l="0" t="0" r="0" b="0"/>
                      <wp:wrapNone/>
                      <wp:docPr id="563" name="Frame555"/>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29235" cy="175260"/>
                      <wp:effectExtent l="0" t="0" r="0" b="0"/>
                      <wp:wrapNone/>
                      <wp:docPr id="564" name="Frame55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829310" cy="175260"/>
                      <wp:effectExtent l="0" t="0" r="0" b="0"/>
                      <wp:wrapNone/>
                      <wp:docPr id="565" name="Frame557"/>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0660" cy="175260"/>
                      <wp:effectExtent l="0" t="0" r="0" b="0"/>
                      <wp:wrapNone/>
                      <wp:docPr id="566" name="Frame55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306" w:type="dxa"/>
            <w:tcBorders>
              <w:bottom w:val="single" w:sz="2" w:space="0" w:color="231F2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61" w:type="dxa"/>
            <w:tcBorders/>
            <w:shd w:fill="auto" w:val="clear"/>
            <w:vAlign w:val="center"/>
          </w:tcPr>
          <w:p>
            <w:pPr>
              <w:pStyle w:val="TableContents"/>
              <w:spacing w:before="0" w:after="1"/>
              <w:ind w:left="0" w:right="0" w:hanging="0"/>
              <w:rPr>
                <w:color w:val="231F20"/>
              </w:rPr>
            </w:pPr>
            <w:r>
              <w:rPr>
                <w:color w:val="231F20"/>
              </w:rPr>
              <w:t>    </w:t>
            </w:r>
          </w:p>
        </w:tc>
        <w:tc>
          <w:tcPr>
            <w:tcW w:w="1306" w:type="dxa"/>
            <w:tcBorders>
              <w:bottom w:val="single" w:sz="2" w:space="0" w:color="231F2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61" w:type="dxa"/>
            <w:tcBorders/>
            <w:shd w:fill="auto" w:val="clear"/>
            <w:vAlign w:val="center"/>
          </w:tcPr>
          <w:p>
            <w:pPr>
              <w:pStyle w:val="TableContents"/>
              <w:spacing w:before="0" w:after="1"/>
              <w:ind w:left="0" w:right="0" w:hanging="0"/>
              <w:rPr>
                <w:color w:val="231F20"/>
              </w:rPr>
            </w:pPr>
            <w:r>
              <w:rPr>
                <w:color w:val="231F20"/>
              </w:rPr>
              <w:t>    </w:t>
            </w:r>
          </w:p>
        </w:tc>
        <w:tc>
          <w:tcPr>
            <w:tcW w:w="1306" w:type="dxa"/>
            <w:tcBorders>
              <w:bottom w:val="single" w:sz="2" w:space="0" w:color="231F2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16" w:type="dxa"/>
            <w:tcBorders/>
            <w:shd w:fill="auto" w:val="clear"/>
            <w:vAlign w:val="center"/>
          </w:tcPr>
          <w:p>
            <w:pPr>
              <w:pStyle w:val="TableContents"/>
              <w:spacing w:before="0" w:after="1"/>
              <w:ind w:left="0" w:right="0" w:hanging="0"/>
              <w:jc w:val="center"/>
              <w:rPr>
                <w:color w:val="231F20"/>
              </w:rPr>
            </w:pPr>
            <w:r>
              <w:rPr>
                <w:color w:val="231F20"/>
              </w:rPr>
              <w:t> </w:t>
            </w:r>
          </w:p>
        </w:tc>
      </w:tr>
      <w:tr>
        <w:trPr/>
        <w:tc>
          <w:tcPr>
            <w:tcW w:w="333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Risk-free rate of return</w:t>
            </w:r>
            <w:r>
              <w:rPr>
                <w:rFonts w:ascii="Times New Roman;Times;serif" w:hAnsi="Times New Roman;Times;serif"/>
                <w:color w:val="231F20"/>
                <w:sz w:val="15"/>
              </w:rPr>
              <w:t>(1)</w:t>
            </w:r>
            <w:r>
              <w:rPr>
                <w:rFonts w:ascii="Times New Roman;Times;serif" w:hAnsi="Times New Roman;Times;serif"/>
                <w:color w:val="231F20"/>
                <w:sz w:val="20"/>
              </w:rPr>
              <w:t xml:space="preserv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2.90%~3.10</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1.70%~3.20</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3.10%~4.00</w:t>
            </w:r>
          </w:p>
        </w:tc>
        <w:tc>
          <w:tcPr>
            <w:tcW w:w="31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333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Volatility</w:t>
            </w:r>
            <w:r>
              <w:rPr>
                <w:rFonts w:ascii="Times New Roman;Times;serif" w:hAnsi="Times New Roman;Times;serif"/>
                <w:color w:val="231F20"/>
                <w:sz w:val="15"/>
              </w:rPr>
              <w:t>(2)</w:t>
            </w:r>
            <w:r>
              <w:rPr>
                <w:rFonts w:ascii="Times New Roman;Times;serif" w:hAnsi="Times New Roman;Times;serif"/>
                <w:color w:val="231F20"/>
                <w:sz w:val="20"/>
              </w:rPr>
              <w:t xml:space="preserve">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34.30%~34.40</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34.61%~37.64</w:t>
            </w:r>
          </w:p>
        </w:tc>
        <w:tc>
          <w:tcPr>
            <w:tcW w:w="36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38.98%~40.44</w:t>
            </w:r>
          </w:p>
        </w:tc>
        <w:tc>
          <w:tcPr>
            <w:tcW w:w="31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333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Expected dividend yield</w:t>
            </w:r>
            <w:r>
              <w:rPr>
                <w:rFonts w:ascii="Times New Roman;Times;serif" w:hAnsi="Times New Roman;Times;serif"/>
                <w:color w:val="231F20"/>
                <w:sz w:val="15"/>
              </w:rPr>
              <w:t>(3)</w:t>
            </w:r>
            <w:r>
              <w:rPr>
                <w:rFonts w:ascii="Times New Roman;Times;serif" w:hAnsi="Times New Roman;Times;serif"/>
                <w:color w:val="231F20"/>
                <w:sz w:val="20"/>
              </w:rPr>
              <w:t xml:space="preserv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w:t>
            </w:r>
          </w:p>
        </w:tc>
        <w:tc>
          <w:tcPr>
            <w:tcW w:w="36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0</w:t>
            </w:r>
          </w:p>
        </w:tc>
        <w:tc>
          <w:tcPr>
            <w:tcW w:w="316"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333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Fair value of ordinary share (in RMB)</w:t>
            </w:r>
            <w:r>
              <w:rPr>
                <w:rFonts w:ascii="Times New Roman;Times;serif" w:hAnsi="Times New Roman;Times;serif"/>
                <w:color w:val="231F20"/>
                <w:sz w:val="15"/>
              </w:rPr>
              <w:t>(4)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10.54~10.93</w:t>
            </w:r>
          </w:p>
        </w:tc>
        <w:tc>
          <w:tcPr>
            <w:tcW w:w="361" w:type="dxa"/>
            <w:tcBorders/>
            <w:shd w:fill="auto" w:val="clear"/>
            <w:vAlign w:val="center"/>
          </w:tcPr>
          <w:p>
            <w:pPr>
              <w:pStyle w:val="TableContents"/>
              <w:spacing w:before="0" w:after="1"/>
              <w:ind w:left="0" w:right="0" w:hanging="0"/>
              <w:jc w:val="center"/>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11.93~31.74</w:t>
            </w:r>
          </w:p>
        </w:tc>
        <w:tc>
          <w:tcPr>
            <w:tcW w:w="361" w:type="dxa"/>
            <w:tcBorders/>
            <w:shd w:fill="auto" w:val="clear"/>
            <w:vAlign w:val="center"/>
          </w:tcPr>
          <w:p>
            <w:pPr>
              <w:pStyle w:val="TableContents"/>
              <w:spacing w:before="0" w:after="1"/>
              <w:ind w:left="0" w:right="0" w:hanging="0"/>
              <w:jc w:val="center"/>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28.80~43.56</w:t>
            </w:r>
          </w:p>
        </w:tc>
        <w:tc>
          <w:tcPr>
            <w:tcW w:w="316" w:type="dxa"/>
            <w:tcBorders/>
            <w:shd w:fill="auto" w:val="clear"/>
            <w:vAlign w:val="center"/>
          </w:tcPr>
          <w:p>
            <w:pPr>
              <w:pStyle w:val="TableContents"/>
              <w:spacing w:before="0" w:after="1"/>
              <w:ind w:left="0" w:right="0" w:hanging="0"/>
              <w:rPr>
                <w:color w:val="231F20"/>
              </w:rPr>
            </w:pPr>
            <w:r>
              <w:rPr>
                <w:color w:val="231F20"/>
              </w:rPr>
              <w:t>​</w:t>
            </w:r>
          </w:p>
        </w:tc>
      </w:tr>
      <w:tr>
        <w:trPr/>
        <w:tc>
          <w:tcPr>
            <w:tcW w:w="333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Exercise multiple</w:t>
            </w:r>
            <w:r>
              <w:rPr>
                <w:rFonts w:ascii="Times New Roman;Times;serif" w:hAnsi="Times New Roman;Times;serif"/>
                <w:color w:val="231F20"/>
                <w:sz w:val="15"/>
              </w:rPr>
              <w:t>(5)</w:t>
            </w:r>
            <w:r>
              <w:rPr>
                <w:rFonts w:ascii="Times New Roman;Times;serif" w:hAnsi="Times New Roman;Times;serif"/>
                <w:color w:val="231F20"/>
                <w:sz w:val="20"/>
              </w:rPr>
              <w:t xml:space="preserve"> </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w:t>
            </w:r>
          </w:p>
        </w:tc>
        <w:tc>
          <w:tcPr>
            <w:tcW w:w="361" w:type="dxa"/>
            <w:tcBorders/>
            <w:shd w:fill="CCEEFF" w:val="clear"/>
            <w:vAlign w:val="center"/>
          </w:tcPr>
          <w:p>
            <w:pPr>
              <w:pStyle w:val="TableContents"/>
              <w:spacing w:before="0" w:after="1"/>
              <w:ind w:left="0" w:right="0" w:hanging="0"/>
              <w:jc w:val="center"/>
              <w:rPr>
                <w:color w:val="231F20"/>
              </w:rPr>
            </w:pPr>
            <w:r>
              <w:rPr>
                <w:color w:val="231F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w:t>
            </w:r>
          </w:p>
        </w:tc>
        <w:tc>
          <w:tcPr>
            <w:tcW w:w="361" w:type="dxa"/>
            <w:tcBorders/>
            <w:shd w:fill="CCEEFF" w:val="clear"/>
            <w:vAlign w:val="center"/>
          </w:tcPr>
          <w:p>
            <w:pPr>
              <w:pStyle w:val="TableContents"/>
              <w:spacing w:before="0" w:after="1"/>
              <w:ind w:left="0" w:right="0" w:hanging="0"/>
              <w:jc w:val="center"/>
              <w:rPr>
                <w:color w:val="231F20"/>
              </w:rPr>
            </w:pPr>
            <w:r>
              <w:rPr>
                <w:color w:val="231F20"/>
              </w:rPr>
              <w:t> </w:t>
            </w:r>
          </w:p>
        </w:tc>
        <w:tc>
          <w:tcPr>
            <w:tcW w:w="13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2.2</w:t>
            </w:r>
          </w:p>
        </w:tc>
        <w:tc>
          <w:tcPr>
            <w:tcW w:w="316" w:type="dxa"/>
            <w:tcBorders/>
            <w:shd w:fill="CCEEFF" w:val="clear"/>
            <w:vAlign w:val="center"/>
          </w:tcPr>
          <w:p>
            <w:pPr>
              <w:pStyle w:val="TableContents"/>
              <w:spacing w:before="0" w:after="1"/>
              <w:ind w:left="0" w:right="0" w:hanging="0"/>
              <w:rPr>
                <w:color w:val="231F20"/>
              </w:rPr>
            </w:pPr>
            <w:r>
              <w:rPr>
                <w:color w:val="231F20"/>
              </w:rPr>
              <w:t>​</w:t>
            </w:r>
          </w:p>
        </w:tc>
      </w:tr>
      <w:tr>
        <w:trPr/>
        <w:tc>
          <w:tcPr>
            <w:tcW w:w="333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color w:val="231F20"/>
                <w:sz w:val="20"/>
              </w:rPr>
              <w:t>Expected term</w:t>
            </w:r>
            <w:r>
              <w:rPr>
                <w:rFonts w:ascii="Times New Roman;Times;serif" w:hAnsi="Times New Roman;Times;serif"/>
                <w:color w:val="231F20"/>
                <w:sz w:val="15"/>
              </w:rPr>
              <w:t>(6)</w:t>
            </w:r>
            <w:r>
              <w:rPr>
                <w:rFonts w:ascii="Times New Roman;Times;serif" w:hAnsi="Times New Roman;Times;serif"/>
                <w:color w:val="231F20"/>
                <w:sz w:val="20"/>
              </w:rPr>
              <w:t xml:space="preserve">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61" w:type="dxa"/>
            <w:tcBorders/>
            <w:shd w:fill="auto" w:val="clear"/>
            <w:vAlign w:val="center"/>
          </w:tcPr>
          <w:p>
            <w:pPr>
              <w:pStyle w:val="TableContents"/>
              <w:spacing w:before="0" w:after="1"/>
              <w:ind w:left="0" w:right="0" w:hanging="0"/>
              <w:jc w:val="center"/>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61" w:type="dxa"/>
            <w:tcBorders/>
            <w:shd w:fill="auto" w:val="clear"/>
            <w:vAlign w:val="center"/>
          </w:tcPr>
          <w:p>
            <w:pPr>
              <w:pStyle w:val="TableContents"/>
              <w:spacing w:before="0" w:after="1"/>
              <w:ind w:left="0" w:right="0" w:hanging="0"/>
              <w:jc w:val="center"/>
              <w:rPr>
                <w:color w:val="231F20"/>
              </w:rPr>
            </w:pPr>
            <w:r>
              <w:rPr>
                <w:color w:val="231F20"/>
              </w:rPr>
              <w:t> </w:t>
            </w:r>
          </w:p>
        </w:tc>
        <w:tc>
          <w:tcPr>
            <w:tcW w:w="13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16" w:type="dxa"/>
            <w:tcBorders/>
            <w:shd w:fill="auto" w:val="clear"/>
            <w:vAlign w:val="center"/>
          </w:tcPr>
          <w:p>
            <w:pPr>
              <w:pStyle w:val="TableContents"/>
              <w:spacing w:before="0" w:after="1"/>
              <w:ind w:left="0" w:right="0" w:hanging="0"/>
              <w:rPr>
                <w:color w:val="231F20"/>
              </w:rPr>
            </w:pPr>
            <w:r>
              <w:rPr>
                <w:color w:val="231F20"/>
              </w:rPr>
              <w:t>​</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(1)</w:t>
            </w:r>
          </w:p>
        </w:tc>
        <w:tc>
          <w:tcPr>
            <w:tcW w:w="9892"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Risk-free rate was estimated based on the yield of USD Treasury Strips for share options granted under the Public Company Plan as of the valuation date for a term consistent with the option life.</w:t>
            </w:r>
          </w:p>
        </w:tc>
      </w:tr>
    </w:tbl>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(2)</w:t>
            </w:r>
          </w:p>
        </w:tc>
        <w:tc>
          <w:tcPr>
            <w:tcW w:w="9883"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Expected volatility was assumed based on the historical volatility of the Company’s comparable companies in the period equal to the expected term of each grant.</w:t>
            </w:r>
          </w:p>
        </w:tc>
      </w:tr>
    </w:tbl>
    <w:tbl>
      <w:tblPr>
        <w:tblW w:w="9737" w:type="dxa"/>
        <w:jc w:val="left"/>
        <w:tblInd w:w="0" w:type="dxa"/>
        <w:tblCellMar>
          <w:top w:w="0" w:type="dxa"/>
          <w:left w:w="0" w:type="dxa"/>
          <w:bottom w:w="0" w:type="dxa"/>
          <w:right w:w="0" w:type="dxa"/>
        </w:tblCellMar>
      </w:tblPr>
      <w:tblGrid>
        <w:gridCol w:w="331"/>
        <w:gridCol w:w="9406"/>
      </w:tblGrid>
      <w:tr>
        <w:trPr/>
        <w:tc>
          <w:tcPr>
            <w:tcW w:w="331"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(3)</w:t>
            </w:r>
          </w:p>
        </w:tc>
        <w:tc>
          <w:tcPr>
            <w:tcW w:w="9406"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The dividend yield was estimated by the Company based on its expected dividend policy over the expected term of the share options.</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(4)</w:t>
            </w:r>
          </w:p>
        </w:tc>
        <w:tc>
          <w:tcPr>
            <w:tcW w:w="992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color w:val="231F20"/>
                <w:sz w:val="16"/>
              </w:rPr>
              <w:t xml:space="preserve">Prior to IPO, the estimated fair value of the ordinary shares at the grant dates was estimated by management with the assistance of an independent valuation firm. The Company first determined its enterprise value by using income approach, which required </w:t>
            </w:r>
            <w:r>
              <w:rPr>
                <w:rFonts w:ascii="Times New Roman;Times;serif" w:hAnsi="Times New Roman;Times;serif"/>
                <w:b w:val="false"/>
                <w:i w:val="false"/>
                <w:caps w:val="false"/>
                <w:smallCaps w:val="false"/>
                <w:sz w:val="16"/>
              </w:rPr>
              <w:t>the estimation of future cash flows, and the application of an appropriate discount rate with reference to comparable listed companies engaged in the similar industry to convert such future cash flows to a single present value. After the Company’s IPO, the fair value of the underlying ordinary share is the closing price of the Company's ordinary shares traded in the open market as of the grant date.</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(5)</w:t>
            </w:r>
          </w:p>
        </w:tc>
        <w:tc>
          <w:tcPr>
            <w:tcW w:w="99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color w:val="231F20"/>
                <w:sz w:val="16"/>
              </w:rPr>
              <w:t xml:space="preserve">The expected exercise multiple was estimated as the average ratio of the stock price to the exercise price of when employees would decide to </w:t>
            </w:r>
            <w:r>
              <w:rPr>
                <w:rFonts w:ascii="Times New Roman;Times;serif" w:hAnsi="Times New Roman;Times;serif"/>
                <w:b w:val="false"/>
                <w:i w:val="false"/>
                <w:caps w:val="false"/>
                <w:smallCaps w:val="false"/>
                <w:sz w:val="16"/>
              </w:rPr>
              <w:t>voluntarily</w:t>
            </w:r>
            <w:r>
              <w:rPr>
                <w:caps w:val="false"/>
                <w:smallCaps w:val="false"/>
                <w:color w:val="231F20"/>
              </w:rPr>
              <w:t xml:space="preserve"> </w:t>
            </w:r>
            <w:r>
              <w:rPr>
                <w:rFonts w:ascii="Times New Roman;Times;serif" w:hAnsi="Times New Roman;Times;serif"/>
                <w:b w:val="false"/>
                <w:i w:val="false"/>
                <w:caps w:val="false"/>
                <w:smallCaps w:val="false"/>
                <w:color w:val="231F20"/>
                <w:sz w:val="16"/>
              </w:rPr>
              <w:t>exercise their vested options. As the Company did not have sufficient information of past employee exercise history, it was estimated by referencing to a widely accepted academic research publication.</w:t>
            </w:r>
          </w:p>
        </w:tc>
      </w:tr>
    </w:tbl>
    <w:tbl>
      <w:tblPr>
        <w:tblW w:w="5177" w:type="dxa"/>
        <w:jc w:val="left"/>
        <w:tblInd w:w="0" w:type="dxa"/>
        <w:tblCellMar>
          <w:top w:w="0" w:type="dxa"/>
          <w:left w:w="0" w:type="dxa"/>
          <w:bottom w:w="0" w:type="dxa"/>
          <w:right w:w="0" w:type="dxa"/>
        </w:tblCellMar>
      </w:tblPr>
      <w:tblGrid>
        <w:gridCol w:w="331"/>
        <w:gridCol w:w="4846"/>
      </w:tblGrid>
      <w:tr>
        <w:trPr/>
        <w:tc>
          <w:tcPr>
            <w:tcW w:w="331" w:type="dxa"/>
            <w:tcBorders/>
            <w:shd w:fill="auto" w:val="clear"/>
            <w:vAlign w:val="center"/>
          </w:tcPr>
          <w:p>
            <w:pPr>
              <w:pStyle w:val="TableContents"/>
              <w:spacing w:before="0" w:after="283"/>
              <w:rPr>
                <w:rFonts w:ascii="Times New Roman;Times;serif" w:hAnsi="Times New Roman;Times;serif"/>
                <w:color w:val="231F20"/>
                <w:sz w:val="16"/>
              </w:rPr>
            </w:pPr>
            <w:r>
              <w:rPr>
                <w:rFonts w:ascii="Times New Roman;Times;serif" w:hAnsi="Times New Roman;Times;serif"/>
                <w:color w:val="231F20"/>
                <w:sz w:val="16"/>
              </w:rPr>
              <w:t>(6)</w:t>
            </w:r>
          </w:p>
        </w:tc>
        <w:tc>
          <w:tcPr>
            <w:tcW w:w="484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color w:val="231F20"/>
                <w:sz w:val="16"/>
              </w:rPr>
              <w:t xml:space="preserve">The expected term is the </w:t>
            </w:r>
            <w:r>
              <w:rPr>
                <w:rFonts w:ascii="Times New Roman;Times;serif" w:hAnsi="Times New Roman;Times;serif"/>
                <w:b w:val="false"/>
                <w:i w:val="false"/>
                <w:caps w:val="false"/>
                <w:smallCaps w:val="false"/>
                <w:sz w:val="16"/>
              </w:rPr>
              <w:t>contract</w:t>
            </w:r>
            <w:r>
              <w:rPr>
                <w:caps w:val="false"/>
                <w:smallCaps w:val="false"/>
                <w:color w:val="231F20"/>
              </w:rPr>
              <w:t xml:space="preserve"> </w:t>
            </w:r>
            <w:r>
              <w:rPr>
                <w:rFonts w:ascii="Times New Roman;Times;serif" w:hAnsi="Times New Roman;Times;serif"/>
                <w:b w:val="false"/>
                <w:i w:val="false"/>
                <w:caps w:val="false"/>
                <w:smallCaps w:val="false"/>
                <w:color w:val="231F20"/>
                <w:sz w:val="16"/>
              </w:rPr>
              <w:t>life of the option from grant date.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the years ended December 31, 2020 and 2021, the Group did not recognize any share-based compensation expenses for the share options granted as all awards contain a performance condition which is contingent upon the completion of a Qualified IPO and is not considered probable until the event happens.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Upon the completion of IPO in November 2022, the Group immediately recognized share-based compensation expenses of RMB96,605 of share options vested cumulatively. For the year ended December 31, 2022, the Group recognized RMB163,193 share-based compensation expenses. The share-based compensation expenses have been categorized as either hotel operating costs, general and administrative expenses or selling and marketing expenses, depending on the job functions of the grantees.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summary of share-based compensation expenses recognized for the year ended December 31, 2022 is presented below:</w:t>
      </w:r>
    </w:p>
    <w:p>
      <w:pPr>
        <w:pStyle w:val="TextBody"/>
        <w:spacing w:before="0" w:after="0"/>
        <w:ind w:left="0" w:right="0" w:hanging="0"/>
        <w:rPr/>
      </w:pPr>
      <w:r>
        <w:rPr/>
        <w:t>​</w:t>
      </w:r>
    </w:p>
    <w:tbl>
      <w:tblPr>
        <w:tblW w:w="5023" w:type="dxa"/>
        <w:jc w:val="left"/>
        <w:tblInd w:w="0" w:type="dxa"/>
        <w:tblCellMar>
          <w:top w:w="0" w:type="dxa"/>
          <w:left w:w="0" w:type="dxa"/>
          <w:bottom w:w="0" w:type="dxa"/>
          <w:right w:w="0" w:type="dxa"/>
        </w:tblCellMar>
      </w:tblPr>
      <w:tblGrid>
        <w:gridCol w:w="3091"/>
        <w:gridCol w:w="326"/>
        <w:gridCol w:w="1606"/>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962785" cy="175260"/>
                      <wp:effectExtent l="0" t="0" r="0" b="0"/>
                      <wp:wrapNone/>
                      <wp:docPr id="567" name="Frame559"/>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8" name="Frame5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019810" cy="175260"/>
                      <wp:effectExtent l="0" t="0" r="0" b="0"/>
                      <wp:wrapNone/>
                      <wp:docPr id="569" name="Frame561"/>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 ended</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606" w:type="dxa"/>
            <w:tcBorders/>
            <w:shd w:fill="auto" w:val="clear"/>
            <w:vAlign w:val="center"/>
          </w:tcPr>
          <w:p>
            <w:pPr>
              <w:pStyle w:val="TableContents"/>
              <w:spacing w:before="0" w:after="1"/>
              <w:ind w:left="0" w:right="0" w:hanging="0"/>
              <w:jc w:val="center"/>
              <w:rPr>
                <w:color w:val="231F20"/>
              </w:rPr>
            </w:pPr>
            <w:r>
              <w:rPr>
                <w:color w:val="231F20"/>
              </w:rPr>
              <w:t> </w:t>
            </w:r>
            <w:r>
              <w:rPr>
                <w:rFonts w:ascii="Times New Roman;Times;serif" w:hAnsi="Times New Roman;Times;serif"/>
                <w:b/>
                <w:color w:val="231F20"/>
                <w:sz w:val="16"/>
              </w:rPr>
              <w:t>December 31, 2022</w:t>
            </w:r>
          </w:p>
        </w:tc>
      </w:tr>
      <w:tr>
        <w:trPr/>
        <w:tc>
          <w:tcPr>
            <w:tcW w:w="30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606" w:type="dxa"/>
            <w:tcBorders/>
            <w:shd w:fill="auto" w:val="cle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 ‘000</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Hotel operating costs</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1606" w:type="dxa"/>
            <w:tcBorders/>
            <w:shd w:fill="CCEEFF"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2,111</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Selling and marketing expenses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60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618</w:t>
            </w:r>
          </w:p>
        </w:tc>
      </w:tr>
      <w:tr>
        <w:trPr/>
        <w:tc>
          <w:tcPr>
            <w:tcW w:w="3091" w:type="dxa"/>
            <w:tcBorders/>
            <w:shd w:fill="CCEEFF"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6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160,464</w:t>
            </w:r>
          </w:p>
        </w:tc>
      </w:tr>
      <w:tr>
        <w:trPr/>
        <w:tc>
          <w:tcPr>
            <w:tcW w:w="3091"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Total</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60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163,193</w:t>
            </w:r>
          </w:p>
        </w:tc>
      </w:tr>
    </w:tbl>
    <w:p>
      <w:pPr>
        <w:pStyle w:val="TextBody"/>
        <w:spacing w:before="0" w:after="240"/>
        <w:ind w:left="0" w:right="0" w:firstLine="36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97" w:type="dxa"/>
        <w:jc w:val="left"/>
        <w:tblInd w:w="0" w:type="dxa"/>
        <w:tblCellMar>
          <w:top w:w="0" w:type="dxa"/>
          <w:left w:w="0" w:type="dxa"/>
          <w:bottom w:w="0" w:type="dxa"/>
          <w:right w:w="0" w:type="dxa"/>
        </w:tblCellMar>
      </w:tblPr>
      <w:tblGrid>
        <w:gridCol w:w="376"/>
        <w:gridCol w:w="721"/>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16.</w:t>
            </w:r>
          </w:p>
        </w:tc>
        <w:tc>
          <w:tcPr>
            <w:tcW w:w="72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Equity</w:t>
            </w:r>
          </w:p>
        </w:tc>
      </w:tr>
    </w:tbl>
    <w:tbl>
      <w:tblPr>
        <w:tblW w:w="1926" w:type="dxa"/>
        <w:jc w:val="left"/>
        <w:tblInd w:w="0" w:type="dxa"/>
        <w:tblCellMar>
          <w:top w:w="0" w:type="dxa"/>
          <w:left w:w="0" w:type="dxa"/>
          <w:bottom w:w="0" w:type="dxa"/>
          <w:right w:w="0" w:type="dxa"/>
        </w:tblCellMar>
      </w:tblPr>
      <w:tblGrid>
        <w:gridCol w:w="124"/>
        <w:gridCol w:w="331"/>
        <w:gridCol w:w="147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(a)</w:t>
            </w:r>
          </w:p>
        </w:tc>
        <w:tc>
          <w:tcPr>
            <w:tcW w:w="147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Ordinary shares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the Company’s IPO in November 2022, the Company issued 5,462,500 American depositary shares (“ADSs”) or 16,387,500 Class A ordinary shares at the price of $11 per ADS or $3.67 per ordinary share, with net proceeds of RMB365,784.</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Prior to the Restructuring, as further described in Note 1, the issued and outstanding shares of Atour Shanghai include 171,589,918 ordinary shares, 60,912,400 Series A Shares, 48,394,000 Series B Shares and 104,896,800 Series C Shares as of December 31, 2020. The preference rights of Series A shares, Series B shares and Series C shares are disclosed in Note 12.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February 2021, the Company passed a board resolution to increase its authorized shares from 500,000,000 shares to 3,000,000,000 shares of par value USD0.0001 each, including 2,900,000,000 Class A ordinary shares (entitled to one vote per share) and 100,000,000 Class B ordinary shares (entitled to ten votes per share), which are subject to restrictions on the voting rights until the consummation of the Company’s IPO.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effect of the Restructuring where applicable has been retrospectively reflected in the consolidated financial statements. The following equity transactions that occurred during the intervening period of the Restructuring are accounted for separately from the Restructuring as they are not part of the integrated set of activities constituting the Restructuring and serve distinct purposes independent of the Restructuring.</w:t>
      </w:r>
    </w:p>
    <w:tbl>
      <w:tblPr>
        <w:tblW w:w="5241" w:type="dxa"/>
        <w:jc w:val="left"/>
        <w:tblInd w:w="0" w:type="dxa"/>
        <w:tblCellMar>
          <w:top w:w="0" w:type="dxa"/>
          <w:left w:w="0" w:type="dxa"/>
          <w:bottom w:w="0" w:type="dxa"/>
          <w:right w:w="0" w:type="dxa"/>
        </w:tblCellMar>
      </w:tblPr>
      <w:tblGrid>
        <w:gridCol w:w="124"/>
        <w:gridCol w:w="331"/>
        <w:gridCol w:w="478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(b)</w:t>
            </w:r>
          </w:p>
        </w:tc>
        <w:tc>
          <w:tcPr>
            <w:tcW w:w="478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Termination of preference rights of certain shareholders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set out in Note 12, the preference rights (including liquidation preference and redemption rights, where applicable) of Series A, B and C shares were terminated on April 8, 2021. The redeemable Series B and C Shares were reclassified from mezzanine equity to permanent equity and Series A Shares with liquidation preference were reclassified to ordinary shares within permanent equity on April 8, 2021 as a result of the termination of the preference rights.</w:t>
      </w:r>
    </w:p>
    <w:tbl>
      <w:tblPr>
        <w:tblW w:w="2106" w:type="dxa"/>
        <w:jc w:val="left"/>
        <w:tblInd w:w="0" w:type="dxa"/>
        <w:tblCellMar>
          <w:top w:w="0" w:type="dxa"/>
          <w:left w:w="0" w:type="dxa"/>
          <w:bottom w:w="0" w:type="dxa"/>
          <w:right w:w="0" w:type="dxa"/>
        </w:tblCellMar>
      </w:tblPr>
      <w:tblGrid>
        <w:gridCol w:w="124"/>
        <w:gridCol w:w="316"/>
        <w:gridCol w:w="1666"/>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(c)</w:t>
            </w:r>
          </w:p>
        </w:tc>
        <w:tc>
          <w:tcPr>
            <w:tcW w:w="166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Shares repurchase</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subsidiary of the Company agreed to pay a cash consideration of RMB111,260 in May 2021 to acquire 8,822,664 ordinary shares held by a shareholder of Atour Shanghai, who agreed not to participate in the Restructuring. The transaction is accounted for as share repurchase by the Company for the year ended December 31, 2021.</w:t>
      </w:r>
    </w:p>
    <w:tbl>
      <w:tblPr>
        <w:tblW w:w="2931" w:type="dxa"/>
        <w:jc w:val="left"/>
        <w:tblInd w:w="0" w:type="dxa"/>
        <w:tblCellMar>
          <w:top w:w="0" w:type="dxa"/>
          <w:left w:w="0" w:type="dxa"/>
          <w:bottom w:w="0" w:type="dxa"/>
          <w:right w:w="0" w:type="dxa"/>
        </w:tblCellMar>
      </w:tblPr>
      <w:tblGrid>
        <w:gridCol w:w="124"/>
        <w:gridCol w:w="331"/>
        <w:gridCol w:w="247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(d)</w:t>
            </w:r>
          </w:p>
        </w:tc>
        <w:tc>
          <w:tcPr>
            <w:tcW w:w="2476"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Distribution to shareholders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agreed with certain shareholders to distribute of RMB20,645 in cash to these shareholders in May 2021.</w:t>
      </w:r>
    </w:p>
    <w:tbl>
      <w:tblPr>
        <w:tblW w:w="2762" w:type="dxa"/>
        <w:jc w:val="left"/>
        <w:tblInd w:w="0" w:type="dxa"/>
        <w:tblCellMar>
          <w:top w:w="0" w:type="dxa"/>
          <w:left w:w="0" w:type="dxa"/>
          <w:bottom w:w="0" w:type="dxa"/>
          <w:right w:w="0" w:type="dxa"/>
        </w:tblCellMar>
      </w:tblPr>
      <w:tblGrid>
        <w:gridCol w:w="376"/>
        <w:gridCol w:w="2386"/>
      </w:tblGrid>
      <w:tr>
        <w:trPr/>
        <w:tc>
          <w:tcPr>
            <w:tcW w:w="3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17.</w:t>
            </w:r>
          </w:p>
        </w:tc>
        <w:tc>
          <w:tcPr>
            <w:tcW w:w="238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to the related party information disclosed elsewhere in the consolidated financial statements, the Group entered into the following material related party transactions.</w:t>
      </w:r>
    </w:p>
    <w:p>
      <w:pPr>
        <w:pStyle w:val="TextBody"/>
        <w:spacing w:before="0" w:after="0"/>
        <w:ind w:left="0" w:right="0" w:hanging="0"/>
        <w:rPr/>
      </w:pPr>
      <w:r>
        <w:rPr/>
        <w:t>​</w:t>
      </w:r>
    </w:p>
    <w:tbl>
      <w:tblPr>
        <w:tblW w:w="6819" w:type="dxa"/>
        <w:jc w:val="left"/>
        <w:tblInd w:w="0" w:type="dxa"/>
        <w:tblCellMar>
          <w:top w:w="0" w:type="dxa"/>
          <w:left w:w="0" w:type="dxa"/>
          <w:bottom w:w="0" w:type="dxa"/>
          <w:right w:w="0" w:type="dxa"/>
        </w:tblCellMar>
      </w:tblPr>
      <w:tblGrid>
        <w:gridCol w:w="3811"/>
        <w:gridCol w:w="326"/>
        <w:gridCol w:w="2491"/>
        <w:gridCol w:w="191"/>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419985" cy="175260"/>
                      <wp:effectExtent l="0" t="0" r="0" b="0"/>
                      <wp:wrapNone/>
                      <wp:docPr id="570" name="Frame562"/>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1" name="Frame5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581785" cy="175260"/>
                      <wp:effectExtent l="0" t="0" r="0" b="0"/>
                      <wp:wrapNone/>
                      <wp:docPr id="572" name="Frame564"/>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21285" cy="175260"/>
                      <wp:effectExtent l="0" t="0" r="0" b="0"/>
                      <wp:wrapNone/>
                      <wp:docPr id="573" name="Frame56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 of party</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4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Relationship</w:t>
            </w:r>
          </w:p>
        </w:tc>
        <w:tc>
          <w:tcPr>
            <w:tcW w:w="19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38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Trip.com Group Ltd. and its subsidiaries</w:t>
              <w:br/>
              <w:t>(collectively referred to as “Trip.com Group”)</w:t>
            </w:r>
          </w:p>
        </w:tc>
        <w:tc>
          <w:tcPr>
            <w:tcW w:w="326" w:type="dxa"/>
            <w:tcBorders/>
            <w:shd w:fill="CCEEFF" w:val="clear"/>
            <w:vAlign w:val="center"/>
          </w:tcPr>
          <w:p>
            <w:pPr>
              <w:pStyle w:val="TableContents"/>
              <w:spacing w:before="0" w:after="0"/>
              <w:ind w:left="0" w:right="0" w:hanging="0"/>
              <w:rPr/>
            </w:pPr>
            <w:r>
              <w:rPr/>
              <w:t>​</w:t>
            </w:r>
          </w:p>
        </w:tc>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Ultimate parent of a principal</w:t>
              <w:br/>
              <w:t>shareholder of the Company</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3846" w:type="dxa"/>
        <w:jc w:val="left"/>
        <w:tblInd w:w="0" w:type="dxa"/>
        <w:tblCellMar>
          <w:top w:w="0" w:type="dxa"/>
          <w:left w:w="0" w:type="dxa"/>
          <w:bottom w:w="0" w:type="dxa"/>
          <w:right w:w="0" w:type="dxa"/>
        </w:tblCellMar>
      </w:tblPr>
      <w:tblGrid>
        <w:gridCol w:w="124"/>
        <w:gridCol w:w="331"/>
        <w:gridCol w:w="339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(a)</w:t>
            </w:r>
          </w:p>
        </w:tc>
        <w:tc>
          <w:tcPr>
            <w:tcW w:w="3391" w:type="dxa"/>
            <w:tcBorders/>
            <w:shd w:fill="auto" w:val="clear"/>
            <w:vAlign w:val="center"/>
          </w:tcPr>
          <w:p>
            <w:pPr>
              <w:pStyle w:val="TableContents"/>
              <w:spacing w:before="0" w:after="240"/>
              <w:rPr>
                <w:rFonts w:ascii="Times New Roman;Times;serif" w:hAnsi="Times New Roman;Times;serif"/>
                <w:b/>
                <w:i/>
                <w:sz w:val="20"/>
              </w:rPr>
            </w:pPr>
            <w:r>
              <w:rPr>
                <w:rFonts w:ascii="Times New Roman;Times;serif" w:hAnsi="Times New Roman;Times;serif"/>
                <w:b/>
                <w:i/>
                <w:sz w:val="20"/>
              </w:rPr>
              <w:t>Major transactions with related parties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239" w:name="Tc__WhEn6RIjEyuZ8JUAL34sQ_7_0"/>
      <w:bookmarkStart w:id="2240" w:name="Tc_EmnIpNzqsEeT7SMxeBEcvA_6_0"/>
      <w:bookmarkStart w:id="2241" w:name="Tc_mparoN8B0kqzMDsQMBJotg_5_0"/>
      <w:bookmarkStart w:id="2242" w:name="Tc_xUjEMSsnu0mb80-kitoCzg_4_0"/>
      <w:bookmarkStart w:id="2243" w:name="Tc_1DYMKZtSHkW5S7N4LQrhow_3_4"/>
      <w:bookmarkStart w:id="2244" w:name="Tc_Qu4TLpVxpkelPb87UyBRlg_3_2"/>
      <w:bookmarkStart w:id="2245" w:name="Tc_xYvEm8a5K0atG6KzLqpUsA_2_4"/>
      <w:bookmarkStart w:id="2246" w:name="Tc_n2TXLVpMXEOKr3AgDSsVAQ_2_2"/>
      <w:bookmarkStart w:id="2247" w:name="Tc_W3uFC_hH-UuUEkxT2gpmJA_1_2"/>
      <w:bookmarkStart w:id="2248" w:name="Tc_mOzTC8ILaUaD5fkKE1OjUQ_7_0"/>
      <w:bookmarkStart w:id="2249" w:name="Tc_oXfv3DBGI0C4qAzCQeIBVQ_6_0"/>
      <w:bookmarkStart w:id="2250" w:name="Tc_HwkRnmWjL06rrHW3ByemRQ_5_0"/>
      <w:bookmarkStart w:id="2251" w:name="Tc_Q3QAGSbygEuKNkZVbed_gw_4_0"/>
      <w:bookmarkStart w:id="2252" w:name="Tc_gX-1QdcXF0uoBMbzRG2xDg_3_6"/>
      <w:bookmarkStart w:id="2253" w:name="Tc_iLMJUF9EcUaQZ5w4G3MK1w_3_4"/>
      <w:bookmarkStart w:id="2254" w:name="Tc_lkh3G8_B6UCI9Sf_HTSAdw_3_2"/>
      <w:bookmarkStart w:id="2255" w:name="Tc_sANEzMvxwkaCaF4Y-QZRAw_2_6"/>
      <w:bookmarkStart w:id="2256" w:name="Tc_6IijEupOt0ed5u-p4RFBMg_2_4"/>
      <w:bookmarkStart w:id="2257" w:name="Tc_wu0UJlzTs0GrXs9-6vc5Cw_2_2"/>
      <w:bookmarkStart w:id="2258" w:name="Tc_DdHOV60hQUmBF4E694h6Uw_1_2"/>
      <w:bookmarkStart w:id="2259" w:name="Tc__WhEn6RIjEyuZ8JUAL34sQ_7_0"/>
      <w:bookmarkStart w:id="2260" w:name="Tc_EmnIpNzqsEeT7SMxeBEcvA_6_0"/>
      <w:bookmarkStart w:id="2261" w:name="Tc_mparoN8B0kqzMDsQMBJotg_5_0"/>
      <w:bookmarkStart w:id="2262" w:name="Tc_xUjEMSsnu0mb80-kitoCzg_4_0"/>
      <w:bookmarkStart w:id="2263" w:name="Tc_1DYMKZtSHkW5S7N4LQrhow_3_4"/>
      <w:bookmarkStart w:id="2264" w:name="Tc_Qu4TLpVxpkelPb87UyBRlg_3_2"/>
      <w:bookmarkStart w:id="2265" w:name="Tc_xYvEm8a5K0atG6KzLqpUsA_2_4"/>
      <w:bookmarkStart w:id="2266" w:name="Tc_n2TXLVpMXEOKr3AgDSsVAQ_2_2"/>
      <w:bookmarkStart w:id="2267" w:name="Tc_W3uFC_hH-UuUEkxT2gpmJA_1_2"/>
      <w:bookmarkStart w:id="2268" w:name="Tc_mOzTC8ILaUaD5fkKE1OjUQ_7_0"/>
      <w:bookmarkStart w:id="2269" w:name="Tc_oXfv3DBGI0C4qAzCQeIBVQ_6_0"/>
      <w:bookmarkStart w:id="2270" w:name="Tc_HwkRnmWjL06rrHW3ByemRQ_5_0"/>
      <w:bookmarkStart w:id="2271" w:name="Tc_Q3QAGSbygEuKNkZVbed_gw_4_0"/>
      <w:bookmarkStart w:id="2272" w:name="Tc_gX-1QdcXF0uoBMbzRG2xDg_3_6"/>
      <w:bookmarkStart w:id="2273" w:name="Tc_iLMJUF9EcUaQZ5w4G3MK1w_3_4"/>
      <w:bookmarkStart w:id="2274" w:name="Tc_lkh3G8_B6UCI9Sf_HTSAdw_3_2"/>
      <w:bookmarkStart w:id="2275" w:name="Tc_sANEzMvxwkaCaF4Y-QZRAw_2_6"/>
      <w:bookmarkStart w:id="2276" w:name="Tc_6IijEupOt0ed5u-p4RFBMg_2_4"/>
      <w:bookmarkStart w:id="2277" w:name="Tc_wu0UJlzTs0GrXs9-6vc5Cw_2_2"/>
      <w:bookmarkStart w:id="2278" w:name="Tc_DdHOV60hQUmBF4E694h6Uw_1_2"/>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p>
    <w:tbl>
      <w:tblPr>
        <w:tblW w:w="8557" w:type="dxa"/>
        <w:jc w:val="left"/>
        <w:tblInd w:w="0" w:type="dxa"/>
        <w:tblCellMar>
          <w:top w:w="0" w:type="dxa"/>
          <w:left w:w="0" w:type="dxa"/>
          <w:bottom w:w="0" w:type="dxa"/>
          <w:right w:w="0" w:type="dxa"/>
        </w:tblCellMar>
      </w:tblPr>
      <w:tblGrid>
        <w:gridCol w:w="5191"/>
        <w:gridCol w:w="326"/>
        <w:gridCol w:w="841"/>
        <w:gridCol w:w="326"/>
        <w:gridCol w:w="841"/>
        <w:gridCol w:w="146"/>
        <w:gridCol w:w="886"/>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296285" cy="175260"/>
                      <wp:effectExtent l="0" t="0" r="0" b="0"/>
                      <wp:wrapNone/>
                      <wp:docPr id="574" name="Frame566"/>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5" name="Frame5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534035" cy="175260"/>
                      <wp:effectExtent l="0" t="0" r="0" b="0"/>
                      <wp:wrapNone/>
                      <wp:docPr id="576" name="Frame56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534035" cy="175260"/>
                      <wp:effectExtent l="0" t="0" r="0" b="0"/>
                      <wp:wrapNone/>
                      <wp:docPr id="578" name="Frame57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92710" cy="175260"/>
                      <wp:effectExtent l="0" t="0" r="0" b="0"/>
                      <wp:wrapNone/>
                      <wp:docPr id="579" name="Frame57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62610" cy="175260"/>
                      <wp:effectExtent l="0" t="0" r="0" b="0"/>
                      <wp:wrapNone/>
                      <wp:docPr id="580" name="Frame57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14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b/>
                <w:color w:val="221F1F"/>
                <w:sz w:val="20"/>
              </w:rPr>
            </w:pPr>
            <w:r>
              <w:rPr>
                <w:rFonts w:ascii="Times New Roman;Times;serif" w:hAnsi="Times New Roman;Times;serif"/>
                <w:b/>
                <w:color w:val="221F1F"/>
                <w:sz w:val="20"/>
              </w:rPr>
              <w:t>Hotel reservation payments collected on behalf of the Group</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Trip.com Group</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257,963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588,238</w:t>
            </w:r>
          </w:p>
        </w:tc>
        <w:tc>
          <w:tcPr>
            <w:tcW w:w="14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692,771</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Hotel reservation service fees</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Trip.com Group</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21,276</w:t>
            </w:r>
          </w:p>
        </w:tc>
        <w:tc>
          <w:tcPr>
            <w:tcW w:w="14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11,334</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Trip.com Group has rendered online travel agency reservation services to the Group in exchange for certain hotel reservation service fees.</w:t>
      </w:r>
    </w:p>
    <w:tbl>
      <w:tblPr>
        <w:tblW w:w="3021" w:type="dxa"/>
        <w:jc w:val="left"/>
        <w:tblInd w:w="0" w:type="dxa"/>
        <w:tblCellMar>
          <w:top w:w="0" w:type="dxa"/>
          <w:left w:w="0" w:type="dxa"/>
          <w:bottom w:w="0" w:type="dxa"/>
          <w:right w:w="0" w:type="dxa"/>
        </w:tblCellMar>
      </w:tblPr>
      <w:tblGrid>
        <w:gridCol w:w="124"/>
        <w:gridCol w:w="331"/>
        <w:gridCol w:w="256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240" w:after="240"/>
              <w:rPr>
                <w:rFonts w:ascii="Times New Roman;Times;serif" w:hAnsi="Times New Roman;Times;serif"/>
                <w:b/>
                <w:i/>
                <w:sz w:val="20"/>
              </w:rPr>
            </w:pPr>
            <w:r>
              <w:rPr>
                <w:rFonts w:ascii="Times New Roman;Times;serif" w:hAnsi="Times New Roman;Times;serif"/>
                <w:b/>
                <w:i/>
                <w:sz w:val="20"/>
              </w:rPr>
              <w:t>(b)</w:t>
            </w:r>
          </w:p>
        </w:tc>
        <w:tc>
          <w:tcPr>
            <w:tcW w:w="2566" w:type="dxa"/>
            <w:tcBorders/>
            <w:shd w:fill="auto" w:val="clear"/>
            <w:vAlign w:val="center"/>
          </w:tcPr>
          <w:p>
            <w:pPr>
              <w:pStyle w:val="TableContents"/>
              <w:spacing w:before="240" w:after="240"/>
              <w:rPr>
                <w:rFonts w:ascii="Times New Roman;Times;serif" w:hAnsi="Times New Roman;Times;serif"/>
                <w:b/>
                <w:i/>
                <w:sz w:val="20"/>
              </w:rPr>
            </w:pPr>
            <w:r>
              <w:rPr>
                <w:rFonts w:ascii="Times New Roman;Times;serif" w:hAnsi="Times New Roman;Times;serif"/>
                <w:b/>
                <w:i/>
                <w:sz w:val="20"/>
              </w:rPr>
              <w:t>Balances with related parties</w:t>
            </w:r>
          </w:p>
        </w:tc>
      </w:tr>
    </w:tbl>
    <w:p>
      <w:pPr>
        <w:pStyle w:val="TextBody"/>
        <w:spacing w:before="0" w:after="0"/>
        <w:ind w:left="0" w:right="0" w:hanging="0"/>
        <w:rPr/>
      </w:pPr>
      <w:r>
        <w:rPr/>
        <w:t>​</w:t>
      </w:r>
    </w:p>
    <w:tbl>
      <w:tblPr>
        <w:tblW w:w="5335" w:type="dxa"/>
        <w:jc w:val="left"/>
        <w:tblInd w:w="0" w:type="dxa"/>
        <w:tblCellMar>
          <w:top w:w="0" w:type="dxa"/>
          <w:left w:w="0" w:type="dxa"/>
          <w:bottom w:w="0" w:type="dxa"/>
          <w:right w:w="0" w:type="dxa"/>
        </w:tblCellMar>
      </w:tblPr>
      <w:tblGrid>
        <w:gridCol w:w="2956"/>
        <w:gridCol w:w="326"/>
        <w:gridCol w:w="841"/>
        <w:gridCol w:w="326"/>
        <w:gridCol w:w="886"/>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877060" cy="175260"/>
                      <wp:effectExtent l="0" t="0" r="0" b="0"/>
                      <wp:wrapNone/>
                      <wp:docPr id="581" name="Frame573"/>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2" name="Frame5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34035" cy="175260"/>
                      <wp:effectExtent l="0" t="0" r="0" b="0"/>
                      <wp:wrapNone/>
                      <wp:docPr id="583" name="Frame57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4" name="Frame5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62610" cy="175260"/>
                      <wp:effectExtent l="0" t="0" r="0" b="0"/>
                      <wp:wrapNone/>
                      <wp:docPr id="585" name="Frame57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0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'000</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Amounts due from related parties</w:t>
            </w:r>
          </w:p>
        </w:tc>
        <w:tc>
          <w:tcPr>
            <w:tcW w:w="326" w:type="dxa"/>
            <w:tcBorders/>
            <w:shd w:fill="CCEEFF" w:val="clear"/>
            <w:vAlign w:val="center"/>
          </w:tcPr>
          <w:p>
            <w:pPr>
              <w:pStyle w:val="TableContents"/>
              <w:spacing w:before="0" w:after="1"/>
              <w:ind w:left="0" w:right="0" w:hanging="0"/>
              <w:jc w:val="center"/>
              <w:rPr/>
            </w:pPr>
            <w:r>
              <w:rPr/>
              <w:t>​</w:t>
            </w:r>
          </w:p>
        </w:tc>
        <w:tc>
          <w:tcPr>
            <w:tcW w:w="84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center"/>
              <w:rPr/>
            </w:pPr>
            <w:r>
              <w:rPr/>
              <w:t>  </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Trip.com Group</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51,937</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53,630</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b/>
                <w:color w:val="231F20"/>
                <w:sz w:val="20"/>
              </w:rPr>
            </w:pPr>
            <w:r>
              <w:rPr>
                <w:rFonts w:ascii="Times New Roman;Times;serif" w:hAnsi="Times New Roman;Times;serif"/>
                <w:b/>
                <w:color w:val="231F20"/>
                <w:sz w:val="20"/>
              </w:rPr>
              <w:t>Amounts due to related parties</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color w:val="231F20"/>
                <w:sz w:val="20"/>
              </w:rPr>
            </w:pPr>
            <w:r>
              <w:rPr>
                <w:rFonts w:ascii="Times New Roman;Times;serif" w:hAnsi="Times New Roman;Times;serif"/>
                <w:color w:val="231F20"/>
                <w:sz w:val="20"/>
              </w:rPr>
              <w:t>Trip.com Group</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1,772</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60" w:hanging="0"/>
              <w:jc w:val="right"/>
              <w:rPr>
                <w:rFonts w:ascii="Times New Roman;Times;serif" w:hAnsi="Times New Roman;Times;serif"/>
                <w:color w:val="231F20"/>
                <w:sz w:val="20"/>
              </w:rPr>
            </w:pPr>
            <w:r>
              <w:rPr>
                <w:rFonts w:ascii="Times New Roman;Times;serif" w:hAnsi="Times New Roman;Times;serif"/>
                <w:color w:val="231F20"/>
                <w:sz w:val="20"/>
              </w:rPr>
              <w:t>3,004</w:t>
            </w:r>
          </w:p>
        </w:tc>
      </w:tr>
    </w:tbl>
    <w:p>
      <w:pPr>
        <w:pStyle w:val="TextBody"/>
        <w:spacing w:before="0" w:after="24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712" w:type="dxa"/>
        <w:jc w:val="left"/>
        <w:tblInd w:w="0" w:type="dxa"/>
        <w:tblCellMar>
          <w:top w:w="0" w:type="dxa"/>
          <w:left w:w="0" w:type="dxa"/>
          <w:bottom w:w="0" w:type="dxa"/>
          <w:right w:w="0" w:type="dxa"/>
        </w:tblCellMar>
      </w:tblPr>
      <w:tblGrid>
        <w:gridCol w:w="376"/>
        <w:gridCol w:w="1336"/>
      </w:tblGrid>
      <w:tr>
        <w:trPr/>
        <w:tc>
          <w:tcPr>
            <w:tcW w:w="376" w:type="dxa"/>
            <w:tcBorders/>
            <w:shd w:fill="auto" w:val="clear"/>
            <w:vAlign w:val="center"/>
          </w:tcPr>
          <w:p>
            <w:pPr>
              <w:pStyle w:val="TableContents"/>
              <w:spacing w:before="0" w:after="160"/>
              <w:rPr>
                <w:rFonts w:ascii="Times New Roman;Times;serif" w:hAnsi="Times New Roman;Times;serif"/>
                <w:b/>
                <w:color w:val="231F20"/>
                <w:sz w:val="20"/>
              </w:rPr>
            </w:pPr>
            <w:r>
              <w:rPr>
                <w:rFonts w:ascii="Times New Roman;Times;serif" w:hAnsi="Times New Roman;Times;serif"/>
                <w:b/>
                <w:color w:val="231F20"/>
                <w:sz w:val="20"/>
              </w:rPr>
              <w:t>18.</w:t>
            </w:r>
          </w:p>
        </w:tc>
        <w:tc>
          <w:tcPr>
            <w:tcW w:w="1336" w:type="dxa"/>
            <w:tcBorders/>
            <w:shd w:fill="auto" w:val="clear"/>
            <w:vAlign w:val="center"/>
          </w:tcPr>
          <w:p>
            <w:pPr>
              <w:pStyle w:val="TableContents"/>
              <w:spacing w:before="0" w:after="160"/>
              <w:rPr>
                <w:rFonts w:ascii="Times New Roman;Times;serif" w:hAnsi="Times New Roman;Times;serif"/>
                <w:b/>
                <w:color w:val="231F20"/>
                <w:sz w:val="20"/>
              </w:rPr>
            </w:pPr>
            <w:r>
              <w:rPr>
                <w:rFonts w:ascii="Times New Roman;Times;serif" w:hAnsi="Times New Roman;Times;serif"/>
                <w:b/>
                <w:color w:val="231F20"/>
                <w:sz w:val="20"/>
              </w:rPr>
              <w:t>Contingencies</w:t>
            </w:r>
          </w:p>
        </w:tc>
      </w:tr>
    </w:tbl>
    <w:tbl>
      <w:tblPr>
        <w:tblW w:w="2376" w:type="dxa"/>
        <w:jc w:val="left"/>
        <w:tblInd w:w="0" w:type="dxa"/>
        <w:tblCellMar>
          <w:top w:w="28" w:type="dxa"/>
          <w:left w:w="28" w:type="dxa"/>
          <w:bottom w:w="28" w:type="dxa"/>
          <w:right w:w="28" w:type="dxa"/>
        </w:tblCellMar>
      </w:tblPr>
      <w:tblGrid>
        <w:gridCol w:w="124"/>
        <w:gridCol w:w="331"/>
        <w:gridCol w:w="192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i/>
                <w:color w:val="231F20"/>
                <w:sz w:val="20"/>
              </w:rPr>
            </w:pPr>
            <w:r>
              <w:rPr>
                <w:rFonts w:ascii="Times New Roman;Times;serif" w:hAnsi="Times New Roman;Times;serif"/>
                <w:b/>
                <w:i/>
                <w:color w:val="231F20"/>
                <w:sz w:val="20"/>
              </w:rPr>
              <w:t>(a)</w:t>
            </w:r>
          </w:p>
        </w:tc>
        <w:tc>
          <w:tcPr>
            <w:tcW w:w="19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i/>
                <w:color w:val="231F20"/>
                <w:sz w:val="20"/>
              </w:rPr>
            </w:pPr>
            <w:r>
              <w:rPr>
                <w:rFonts w:ascii="Times New Roman;Times;serif" w:hAnsi="Times New Roman;Times;serif"/>
                <w:b/>
                <w:i/>
                <w:color w:val="231F20"/>
                <w:sz w:val="20"/>
              </w:rPr>
              <w:t>Capital commitments</w:t>
            </w:r>
          </w:p>
        </w:tc>
      </w:tr>
    </w:tbl>
    <w:p>
      <w:pPr>
        <w:pStyle w:val="TextBody"/>
        <w:spacing w:before="0" w:after="160"/>
        <w:ind w:left="0" w:right="0" w:firstLine="360"/>
        <w:rPr>
          <w:rFonts w:ascii="Times New Roman;Times;serif" w:hAnsi="Times New Roman;Times;serif"/>
          <w:sz w:val="20"/>
        </w:rPr>
      </w:pPr>
      <w:r>
        <w:rPr>
          <w:rFonts w:ascii="Times New Roman;Times;serif" w:hAnsi="Times New Roman;Times;serif"/>
          <w:sz w:val="20"/>
        </w:rPr>
        <w:t>As of December 31, 2022, the Group's commitments related to leasehold improvements and installation of equipment for hotel operations was RMB1,289, which is expected to be incurred within one year.</w:t>
      </w:r>
    </w:p>
    <w:tbl>
      <w:tblPr>
        <w:tblW w:w="2991" w:type="dxa"/>
        <w:jc w:val="left"/>
        <w:tblInd w:w="0" w:type="dxa"/>
        <w:tblCellMar>
          <w:top w:w="0" w:type="dxa"/>
          <w:left w:w="0" w:type="dxa"/>
          <w:bottom w:w="0" w:type="dxa"/>
          <w:right w:w="0" w:type="dxa"/>
        </w:tblCellMar>
      </w:tblPr>
      <w:tblGrid>
        <w:gridCol w:w="124"/>
        <w:gridCol w:w="331"/>
        <w:gridCol w:w="253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160"/>
              <w:rPr>
                <w:rFonts w:ascii="Times New Roman;Times;serif" w:hAnsi="Times New Roman;Times;serif"/>
                <w:b/>
                <w:i/>
                <w:sz w:val="20"/>
              </w:rPr>
            </w:pPr>
            <w:r>
              <w:rPr>
                <w:rFonts w:ascii="Times New Roman;Times;serif" w:hAnsi="Times New Roman;Times;serif"/>
                <w:b/>
                <w:i/>
                <w:sz w:val="20"/>
              </w:rPr>
              <w:t>(b)</w:t>
            </w:r>
          </w:p>
        </w:tc>
        <w:tc>
          <w:tcPr>
            <w:tcW w:w="2536" w:type="dxa"/>
            <w:tcBorders/>
            <w:shd w:fill="auto" w:val="clear"/>
            <w:vAlign w:val="center"/>
          </w:tcPr>
          <w:p>
            <w:pPr>
              <w:pStyle w:val="TableContents"/>
              <w:spacing w:before="0" w:after="160"/>
              <w:rPr>
                <w:rFonts w:ascii="Times New Roman;Times;serif" w:hAnsi="Times New Roman;Times;serif"/>
                <w:b/>
                <w:i/>
                <w:sz w:val="20"/>
              </w:rPr>
            </w:pPr>
            <w:r>
              <w:rPr>
                <w:rFonts w:ascii="Times New Roman;Times;serif" w:hAnsi="Times New Roman;Times;serif"/>
                <w:b/>
                <w:i/>
                <w:sz w:val="20"/>
              </w:rPr>
              <w:t>Litigation and contingencies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Group and its operations from time to time are, and in the future may be, parties to or targets of lawsuits, claims, investigations, and proceedings, including but not limited to non-compliance respect to licenses and permits, franchise and management agreements and lease contracts, which are handled and defended in the ordinary course of business.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September 2021, the Group was sued in connection with the agency services fee payable of the Company’s leased hotel. While the Group believes it has meritorious defenses against the suit, the ultimate resolution of the matter, could result in a loss of up to RMB12,333 in excess of the amount accrued.</w:t>
      </w:r>
    </w:p>
    <w:p>
      <w:pPr>
        <w:pStyle w:val="TextBody"/>
        <w:spacing w:before="0" w:after="240"/>
        <w:ind w:left="0" w:right="0" w:firstLine="360"/>
        <w:rPr/>
      </w:pPr>
      <w:r>
        <w:rPr/>
        <w:t>​</w:t>
      </w:r>
    </w:p>
    <w:p>
      <w:pPr>
        <w:pStyle w:val="TextBody"/>
        <w:spacing w:before="0" w:after="0"/>
        <w:ind w:left="0" w:right="0" w:hanging="0"/>
        <w:rPr/>
      </w:pPr>
      <w:r>
        <w:rPr/>
        <w:t>​</w:t>
      </w:r>
    </w:p>
    <w:tbl>
      <w:tblPr>
        <w:tblW w:w="2042" w:type="dxa"/>
        <w:jc w:val="left"/>
        <w:tblInd w:w="0" w:type="dxa"/>
        <w:tblCellMar>
          <w:top w:w="0" w:type="dxa"/>
          <w:left w:w="0" w:type="dxa"/>
          <w:bottom w:w="0" w:type="dxa"/>
          <w:right w:w="0" w:type="dxa"/>
        </w:tblCellMar>
      </w:tblPr>
      <w:tblGrid>
        <w:gridCol w:w="376"/>
        <w:gridCol w:w="1666"/>
      </w:tblGrid>
      <w:tr>
        <w:trPr/>
        <w:tc>
          <w:tcPr>
            <w:tcW w:w="376" w:type="dxa"/>
            <w:tcBorders/>
            <w:shd w:fill="auto" w:val="clear"/>
            <w:vAlign w:val="center"/>
          </w:tcPr>
          <w:p>
            <w:pPr>
              <w:pStyle w:val="TableContents"/>
              <w:spacing w:before="0" w:after="160"/>
              <w:rPr>
                <w:rFonts w:ascii="Times New Roman;Times;serif" w:hAnsi="Times New Roman;Times;serif"/>
                <w:b/>
                <w:sz w:val="20"/>
              </w:rPr>
            </w:pPr>
            <w:r>
              <w:rPr>
                <w:rFonts w:ascii="Times New Roman;Times;serif" w:hAnsi="Times New Roman;Times;serif"/>
                <w:b/>
                <w:sz w:val="20"/>
              </w:rPr>
              <w:t>19.</w:t>
            </w:r>
          </w:p>
        </w:tc>
        <w:tc>
          <w:tcPr>
            <w:tcW w:w="1666" w:type="dxa"/>
            <w:tcBorders/>
            <w:shd w:fill="auto" w:val="clear"/>
            <w:vAlign w:val="center"/>
          </w:tcPr>
          <w:p>
            <w:pPr>
              <w:pStyle w:val="TableContents"/>
              <w:spacing w:before="0" w:after="160"/>
              <w:rPr>
                <w:rFonts w:ascii="Times New Roman;Times;serif" w:hAnsi="Times New Roman;Times;serif"/>
                <w:sz w:val="20"/>
              </w:rPr>
            </w:pPr>
            <w:r>
              <w:rPr>
                <w:rFonts w:ascii="Times New Roman;Times;serif" w:hAnsi="Times New Roman;Times;serif"/>
                <w:b/>
                <w:sz w:val="20"/>
              </w:rPr>
              <w:t xml:space="preserve">Subsequent </w:t>
            </w:r>
            <w:r>
              <w:rPr>
                <w:rFonts w:ascii="Times New Roman;Times;serif" w:hAnsi="Times New Roman;Times;serif"/>
                <w:b/>
                <w:color w:val="231F20"/>
                <w:sz w:val="20"/>
              </w:rPr>
              <w:t>events</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Share-based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March 2023, the Company’s board of directors approved to grant 4,000,000 share options to a certain executive officer under the Public Company Plan with the estimated total grant-date fair value of appropriately RMB138,000. These share options are immediately vested at the date of the grant.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r>
        <w:br w:type="page"/>
      </w:r>
    </w:p>
    <w:p>
      <w:pPr>
        <w:pStyle w:val="TextBody"/>
        <w:spacing w:before="0" w:after="0"/>
        <w:ind w:left="0" w:right="0" w:hanging="0"/>
        <w:jc w:val="right"/>
        <w:rPr>
          <w:rFonts w:ascii="Times New Roman;Times;serif" w:hAnsi="Times New Roman;Times;serif"/>
          <w:b/>
          <w:sz w:val="20"/>
        </w:rPr>
      </w:pPr>
      <w:bookmarkStart w:id="2279" w:name="atat-20221231xex2d4.htm"/>
      <w:bookmarkStart w:id="2280" w:name="ksatat20221231xex2d4"/>
      <w:bookmarkEnd w:id="2279"/>
      <w:bookmarkEnd w:id="2280"/>
      <w:r>
        <w:rPr>
          <w:rFonts w:ascii="Times New Roman;Times;serif" w:hAnsi="Times New Roman;Times;serif"/>
          <w:b/>
          <w:sz w:val="20"/>
        </w:rPr>
        <w:t>Exhibit 2.4</w:t>
      </w:r>
    </w:p>
    <w:p>
      <w:pPr>
        <w:pStyle w:val="TextBody"/>
        <w:spacing w:before="0" w:after="0"/>
        <w:ind w:left="0" w:right="0" w:hanging="0"/>
        <w:jc w:val="right"/>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Registrant’s Securities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Registered under Section 12 of the Securities Exchange Act of 1934 (the “Exchange Act”)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Each American Depositary Share (“ADS”) representing three Class A ordinary shares (or a right to receive three Class A ordinary shares) of Atour Lifestyle Holdings Limited (“we,” “our,” “our company,” or “us”) are listed and traded on the Nasdaq Global Market (“Nasdaq”)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Class A ordinary shares underlying the ADSs are held by The Bank of New York Mellon, as depositary, and holders of ADSs will not be treated as holders of Class A ordinary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Description of Class A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are summaries of material provisions of our currently effective ninth amended and restated memorandum and articles of association (the “Memorandum and Articles of Association”) and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Exhibit 3.2 to our Registration Statement on Form F-1 (File No. 333-256881), as amended, on November 7,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Type and Class of Securities (Item 9.A.5 of Form 20-F)</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Each Class A ordinary share has US$0.0001 par value. The number of Class A ordinary shares that have been issued as of the last day of the financial year ended December 31, 2022 is provided on the cover of our annual report on Form 20-F filed on April 28, 2022 (the “2022 Form 20-F”). Our Class A ordinary shares may be held in either certificated or uncertificated form.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Preemptive Rights (Item 9.A.3 of Form 20-F)</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Our shareholders do not have preemptive rights.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Limitations or Qualifications (Item 9.A.6 of Form 20-F)</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We have a dual-class voting structure such that our ordinary shares consist of Class A ordinary shares and Class B ordinary shares. Each Class A Ordinary Share shall be entitled to one (1) vote on all matters subject to vote at general and special meetings of the Company and each Class B Ordinary Share shall be entitled to ten (10) votes on all matters subject to vote at general meetings (include extraordinary general meetings) of the Company. Holders of Class A ordinary Shares and Class B ordinary Shares shall, at all times, vote together as one Class on all matters submitted to a vote by the Members. Due to the super voting power of Class B ordinary shareholder, the voting power of the Class A ordinary shares may be materially limited. See also “— Requirements to Change the Rights of Holders of Class A ordinary shares (Item 10.B.4 of Form 20-F) — Variations of Rights of Shares.”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Rights of Other Types of Securities (Item 9.A.7 of Form 20-F)</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Rights of Class A Ordinary Shares (Item 10.B.3 of Form 20-F)</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General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Holders of ordinary shares will have the same rights except for voting and conversion rights. All of our issued and outstanding ordinary shares are non-assessable. Certificates representing the ordinary shares are issued in registered form. We may not issue share to bearer. Our shareholders who are non-resident of the Cayman Islands may freely hold and transfer their ordinary shares.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Conversion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Each Class B ordinary share is convertible into one Class A ordinary share at any time by the holder thereof. Class A ordinary shares are not convertible into Class B ordinary shares under any circumstances. Upon any sale, transfer, assignment, disposition, or a change of ultimate beneficial ownership of Class B ordinary shares by a holder thereof to any person who is not an Affiliate (as defined in our Memorandum and Articles of Association) of the holders of such ordinary shares, such Class B ordinary shares shall be automatically and immediately converted into the same number of Class A ordinary shares.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subject to our Memorandum and Articles of Association and the Companies Act. Our Memorandum and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Voting Rights; Meeting of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respect of all matters subject to a shareholders’ vote, each holder of Class A ordinary shares is entitled to one vote per share and each holder of Class B ordinary shares is entitled to ten votes per share on all matters subject to vote at our general meetings. Holders of Class A ordinary shares and Class B ordinary shares shall, at all times, vote together as one class on all matters submitted to a vote by the members at any such general meeting. Voting at any meeting of shareholders is by a poll and not a show of hands.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quorum required for a meeting of shareholders consists of shareholders holding a majority of the votes attaching to the issued and outstanding shares entitled to vote at general meetings present in person or by proxy or, if a corporate or other non-natural person, by its duly authorized representative. As a Cayman Islands exempted company, we are not obliged by the Companies Act to call shareholders’ annual general meetings. Our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called by such shareholders. Advance notice of at least seven (7) business days is required for the convening of our annual general meeting and other general meetings unless such notice is waived in accordance with our articles of association.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Transfer of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Subject to the restrictions in our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5388" w:type="dxa"/>
        <w:jc w:val="left"/>
        <w:tblInd w:w="0" w:type="dxa"/>
        <w:tblCellMar>
          <w:top w:w="0" w:type="dxa"/>
          <w:left w:w="0" w:type="dxa"/>
          <w:bottom w:w="0" w:type="dxa"/>
          <w:right w:w="0" w:type="dxa"/>
        </w:tblCellMar>
      </w:tblPr>
      <w:tblGrid>
        <w:gridCol w:w="23"/>
        <w:gridCol w:w="95"/>
        <w:gridCol w:w="52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52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tbl>
      <w:tblPr>
        <w:tblW w:w="4788" w:type="dxa"/>
        <w:jc w:val="left"/>
        <w:tblInd w:w="0" w:type="dxa"/>
        <w:tblCellMar>
          <w:top w:w="0" w:type="dxa"/>
          <w:left w:w="0" w:type="dxa"/>
          <w:bottom w:w="0" w:type="dxa"/>
          <w:right w:w="0" w:type="dxa"/>
        </w:tblCellMar>
      </w:tblPr>
      <w:tblGrid>
        <w:gridCol w:w="23"/>
        <w:gridCol w:w="95"/>
        <w:gridCol w:w="46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46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instrument of transfer is properly stamped, if required;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tbl>
      <w:tblPr>
        <w:tblW w:w="5118" w:type="dxa"/>
        <w:jc w:val="left"/>
        <w:tblInd w:w="0" w:type="dxa"/>
        <w:tblCellMar>
          <w:top w:w="0" w:type="dxa"/>
          <w:left w:w="0" w:type="dxa"/>
          <w:bottom w:w="0" w:type="dxa"/>
          <w:right w:w="0" w:type="dxa"/>
        </w:tblCellMar>
      </w:tblPr>
      <w:tblGrid>
        <w:gridCol w:w="23"/>
        <w:gridCol w:w="95"/>
        <w:gridCol w:w="50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500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shares are free from any lien in favor of the Company;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our directors refuse to register a transfer they shall, within five business days of such refusal, notify the transferee and provide a detailed explanation of the reason therefor.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i/>
          <w:sz w:val="20"/>
        </w:rPr>
        <w:t>provided</w:t>
      </w:r>
      <w:r>
        <w:rPr>
          <w:rFonts w:ascii="Times New Roman;Times;serif" w:hAnsi="Times New Roman;Times;serif"/>
          <w:sz w:val="20"/>
        </w:rPr>
        <w:t>, </w:t>
      </w:r>
      <w:r>
        <w:rPr>
          <w:rFonts w:ascii="Times New Roman;Times;serif" w:hAnsi="Times New Roman;Times;serif"/>
          <w:i/>
          <w:sz w:val="20"/>
        </w:rPr>
        <w:t>however</w:t>
      </w:r>
      <w:r>
        <w:rPr>
          <w:rFonts w:ascii="Times New Roman;Times;serif" w:hAnsi="Times New Roman;Times;serif"/>
          <w:sz w:val="20"/>
        </w:rPr>
        <w:t>, that the registration of transfers shall not be suspended nor the register closed for 30 more than days in any year as our board may determine.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Liquidation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winding up,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be distributed so that the losses are borne by our shareholders in proportion to the par value of the shares held by them. Any distribution of assets or capital to a holder of ordinary share will be the same in any liquidation event.</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Calls on Ordinary Shares and Forfeiture of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ordinary shares in a notice served to such shareholders at least 14 days prior to the specified time of payment. The ordinary shares that have been called upon and remain unpaid are subject to forfeiture.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Redemption, Repurchase and Surrender of Ordinary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issue shares on terms that such shares are subject to redemption, at our option or at the option of the holders thereof, on such terms and in such manner as may be determined, before the issuance of such shares, by our board of directors. Our company may also repurchase any of our shares provided that the manner and terms of such purchase have been approved by our board of directors, or are otherwise authorized by our Memorandum and Articles of Association. Under the Companies Act, the redemption or repurchase of any share may be paid out of our company’s profits or out of the proceeds of a fresh issuance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Requirements to Change the Rights of Holders of Class A Ordinary Shares (Item 10.B.4 of Form 20-F)</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Variations of Rights of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at any time our share capital is divided into different classes or series of shares, the rights attached to any class or series of shares (unless otherwise provided by the terms of issuance of the shares of that class or series), whether or not our company is being wound-up,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issuance of the shares of that class, be deemed to be varied by the creation or issuance of further shares ranking </w:t>
      </w:r>
      <w:r>
        <w:rPr>
          <w:rFonts w:ascii="Times New Roman;Times;serif" w:hAnsi="Times New Roman;Times;serif"/>
          <w:i/>
          <w:sz w:val="20"/>
        </w:rPr>
        <w:t>pari passu</w:t>
      </w:r>
      <w:r>
        <w:rPr>
          <w:rFonts w:ascii="Times New Roman;Times;serif" w:hAnsi="Times New Roman;Times;serif"/>
          <w:sz w:val="20"/>
        </w:rPr>
        <w:t> with such existing class of shares.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Rights of Holders of Class A Ordinary Shares (Item 10.B.4 of Form 20-F)</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no limitations under the laws of the Cayman Islands or under the Memorandum and Articles of Association that limit the right of non-resident or foreign owners to hold or vote Class A ordinary shares.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Provisions Affecting Any Change of Control (Item 10.B.7 of Form 20-F)</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Anti-Takeover Provisions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Some provisions of our Memorandum and Articles of Association may discourage, delay or prevent a change of control of our company or management that shareholders may consider favorable, including provisions that authorize our board of directors to issue preferred shares in one or more</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series and to designate the price, rights, preferences, privileges and restrictions of such preferred shares without any further vote or action by our shareholders or limit the ability of shareholders to requisition and convene general meetings of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Ownership Threshold (Item 10.B.8 of Form 20-F)</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are no provisions under the Memorandum and Articles of Association that require our company to disclose shareholder ownership above any particular ownership threshold.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Differences between the Law of Different Jurisdictions (Item 10.B.9 of Form 20-F)</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dissenting shareholder of any other rights to which he or she might otherwise be entitled by virtue of holding shares, save for the right to seek relief on the grounds that the merger or consolidation is void or unlawful.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i/>
          <w:sz w:val="20"/>
        </w:rPr>
        <w:t>provided</w:t>
      </w:r>
      <w:r>
        <w:rPr>
          <w:rFonts w:ascii="Times New Roman;Times;serif" w:hAnsi="Times New Roman;Times;serif"/>
          <w:sz w:val="20"/>
        </w:rPr>
        <w:t>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913" w:type="dxa"/>
        <w:jc w:val="left"/>
        <w:tblInd w:w="0" w:type="dxa"/>
        <w:tblCellMar>
          <w:top w:w="0" w:type="dxa"/>
          <w:left w:w="0" w:type="dxa"/>
          <w:bottom w:w="0" w:type="dxa"/>
          <w:right w:w="0" w:type="dxa"/>
        </w:tblCellMar>
      </w:tblPr>
      <w:tblGrid>
        <w:gridCol w:w="23"/>
        <w:gridCol w:w="95"/>
        <w:gridCol w:w="57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57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tbl>
      <w:tblPr>
        <w:tblW w:w="9663" w:type="dxa"/>
        <w:jc w:val="left"/>
        <w:tblInd w:w="0" w:type="dxa"/>
        <w:tblCellMar>
          <w:top w:w="0" w:type="dxa"/>
          <w:left w:w="0" w:type="dxa"/>
          <w:bottom w:w="0" w:type="dxa"/>
          <w:right w:w="0" w:type="dxa"/>
        </w:tblCellMar>
      </w:tblPr>
      <w:tblGrid>
        <w:gridCol w:w="23"/>
        <w:gridCol w:w="95"/>
        <w:gridCol w:w="954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95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Shareholders’ Suits.</w:t>
      </w:r>
      <w:r>
        <w:rPr>
          <w:rFonts w:ascii="Times New Roman;Times;serif" w:hAnsi="Times New Roman;Times;serif"/>
          <w:sz w:val="20"/>
        </w:rPr>
        <w:t>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i/>
          <w:sz w:val="20"/>
        </w:rPr>
        <w:t>Foss v. Harbottle</w:t>
      </w:r>
      <w:r>
        <w:rPr>
          <w:rFonts w:ascii="Times New Roman;Times;serif" w:hAnsi="Times New Roman;Times;serif"/>
          <w:sz w:val="20"/>
        </w:rPr>
        <w:t> and the exceptions thereto) which permit a minority shareholder to commence a class action against or derivative actions in the name of the company to challenge actions where:</w:t>
      </w:r>
    </w:p>
    <w:tbl>
      <w:tblPr>
        <w:tblW w:w="4713" w:type="dxa"/>
        <w:jc w:val="left"/>
        <w:tblInd w:w="0" w:type="dxa"/>
        <w:tblCellMar>
          <w:top w:w="0" w:type="dxa"/>
          <w:left w:w="0" w:type="dxa"/>
          <w:bottom w:w="0" w:type="dxa"/>
          <w:right w:w="0" w:type="dxa"/>
        </w:tblCellMar>
      </w:tblPr>
      <w:tblGrid>
        <w:gridCol w:w="23"/>
        <w:gridCol w:w="95"/>
        <w:gridCol w:w="45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45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 company acts or proposes to act illegally or ultra vires;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tbl>
      <w:tblPr>
        <w:tblW w:w="6138" w:type="dxa"/>
        <w:jc w:val="left"/>
        <w:tblInd w:w="0" w:type="dxa"/>
        <w:tblCellMar>
          <w:top w:w="0" w:type="dxa"/>
          <w:left w:w="0" w:type="dxa"/>
          <w:bottom w:w="0" w:type="dxa"/>
          <w:right w:w="0" w:type="dxa"/>
        </w:tblCellMar>
      </w:tblPr>
      <w:tblGrid>
        <w:gridCol w:w="23"/>
        <w:gridCol w:w="95"/>
        <w:gridCol w:w="60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602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Memorandum and Articles of Association, to the fullest extent permissible under Cayman Islands law every director and officer of our company shall be indemnified against all actions, proceedings, costs, charges, losses, damages and expenses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Directors’ Fiduciary Duties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spacing w:before="0" w:after="0"/>
        <w:ind w:left="0" w:right="0" w:hanging="0"/>
        <w:rPr/>
      </w:pPr>
      <w:r>
        <w:rPr/>
        <w:t>​</w:t>
      </w:r>
    </w:p>
    <w:p>
      <w:pPr>
        <w:pStyle w:val="HorizontalLine"/>
        <w:rPr/>
      </w:pPr>
      <w:r>
        <w:rPr/>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Shareholder Action by Written Consent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Shareholder Proposals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company incorporated in the Cayman Islands, we are not obliged by law to call shareholders’ annual general meetings.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Cumulative Voting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Removal of Directors.</w:t>
      </w:r>
      <w:r>
        <w:rPr>
          <w:rFonts w:ascii="Times New Roman;Times;serif" w:hAnsi="Times New Roman;Times;serif"/>
          <w:sz w:val="20"/>
        </w:rPr>
        <w:t>    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or the affirmative vote of a simple majority of the other directors present and voting at a board meeting. A director shall hold office until the expiration of his or her term or his or her successor shall have been elected and qualified, or until his or her office is otherwise vacated. In addition, a director’s office shall be vacated if the director (i) dies, becomes bankrupt or makes any arrangement or composition with his creditors; (ii) is found to be or becomes of unsound mind; (iii) resigns his office by notice in writing to the company; (iv) is prohibited by law or stock exchange rules from being a director; or (v) is removed from office pursuant to any other provisions of our Memorandum and Articles of Association.</w:t>
      </w:r>
    </w:p>
    <w:p>
      <w:pPr>
        <w:pStyle w:val="TextBody"/>
        <w:spacing w:before="0" w:after="0"/>
        <w:ind w:left="0" w:right="0" w:hanging="0"/>
        <w:rPr/>
      </w:pPr>
      <w:r>
        <w:rPr/>
        <w:t>​</w:t>
      </w:r>
    </w:p>
    <w:p>
      <w:pPr>
        <w:pStyle w:val="HorizontalLine"/>
        <w:rPr/>
      </w:pPr>
      <w:r>
        <w:rPr/>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spacing w:before="0" w:after="100"/>
        <w:ind w:left="0" w:right="0" w:firstLine="360"/>
        <w:rPr>
          <w:rFonts w:ascii="Times New Roman;Times;serif" w:hAnsi="Times New Roman;Times;serif"/>
          <w:b/>
          <w:i/>
          <w:sz w:val="20"/>
        </w:rPr>
      </w:pPr>
      <w:r>
        <w:rPr>
          <w:rFonts w:ascii="Times New Roman;Times;serif" w:hAnsi="Times New Roman;Times;serif"/>
          <w:b/>
          <w:i/>
          <w:sz w:val="20"/>
        </w:rPr>
        <w:t>Restructuring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is or is likely to become unable to pay its debts; and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 intends to present a compromise or arrangement to its creditors (or classes thereof) either pursuant to the Companies Act, the law of a foreign country or by way of a consensual restructuring.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Dissolution; Winding up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include in its certificate of incorporation a supermajority voting requirement in connection with dissolutions initiated by the board.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Variation of Rights of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Capital (Item 10.B.10 of Form 20-F)</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Subject to the provisions of the Companies Act and Memorandum and Articles of Association, the Company may from time to time by ordinary resolutions: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increase the share capital by such sum, to be divided into shares of such classes and amount, as the resolution shall prescribe and with such rights, priorities and privileges annexed thereto, as the Company in general meeting may determine;</w:t>
            </w:r>
          </w:p>
        </w:tc>
      </w:tr>
    </w:tbl>
    <w:tbl>
      <w:tblPr>
        <w:tblW w:w="8718" w:type="dxa"/>
        <w:jc w:val="left"/>
        <w:tblInd w:w="0" w:type="dxa"/>
        <w:tblCellMar>
          <w:top w:w="0" w:type="dxa"/>
          <w:left w:w="0" w:type="dxa"/>
          <w:bottom w:w="0" w:type="dxa"/>
          <w:right w:w="0" w:type="dxa"/>
        </w:tblCellMar>
      </w:tblPr>
      <w:tblGrid>
        <w:gridCol w:w="23"/>
        <w:gridCol w:w="95"/>
        <w:gridCol w:w="86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860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w:t>
            </w:r>
          </w:p>
        </w:tc>
      </w:tr>
    </w:tbl>
    <w:p>
      <w:pPr>
        <w:pStyle w:val="TextBody"/>
        <w:spacing w:before="0" w:after="0"/>
        <w:ind w:left="0" w:right="0" w:hanging="0"/>
        <w:rPr/>
      </w:pPr>
      <w:r>
        <w:rPr/>
        <w:t>​</w:t>
      </w:r>
    </w:p>
    <w:p>
      <w:pPr>
        <w:pStyle w:val="HorizontalLine"/>
        <w:rPr/>
      </w:pPr>
      <w:r>
        <w:rPr/>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Company issues shares which do not carry voting rights, the words “non-voting” shall appear in the designation of such shares and where the equity capital includes shares with different voting rights, the designation of each class of shares, other than those with the most favorable voting rights, must include the words “restricted voting” or “limited voting”;</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subdivide our shares, or any of them, into shares of smaller amount than is fixed by the Memorandum and Articles of Association or into shares without par value (subject, nevertheless, to the applicable law),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its share capital by the amount of the shares so cancelled or, in the case of shares, without par value, diminish the number of shares into which its capital is divided.</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Debt Securities (Item 12.A of Form 20-F)</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Warrants and Rights (Item 12.B of Form 20-F)</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Securities (Item 12.C of Form 20-F)</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Description of American Depositary Shares (Items 12.D.1 and 12.D.2 of Form 20-F)</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Bank of New York Mellon, as depositary, issues and delivers American Depositary Shares, also referred to as ADSs. Each ADS represents three Class A ordinary shares (or a right to receive three Class A ordinary shares) deposited with The Hongkong and Shanghai Banking Corporation Limited,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Registered holders of uncertificated ADSs will receive statements from the depositary confirming their holdings.</w:t>
      </w:r>
    </w:p>
    <w:p>
      <w:pPr>
        <w:pStyle w:val="TextBody"/>
        <w:spacing w:before="0" w:after="0"/>
        <w:ind w:left="0" w:right="0" w:hanging="0"/>
        <w:rPr/>
      </w:pPr>
      <w:r>
        <w:rPr/>
        <w:t>​</w:t>
      </w:r>
    </w:p>
    <w:p>
      <w:pPr>
        <w:pStyle w:val="HorizontalLine"/>
        <w:rPr/>
      </w:pPr>
      <w:r>
        <w:rPr/>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an ADS holder, we will not treat you as one of our shareholders and you will not have shareholder rights.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is a summary of the material provisions of the deposit agreement. For more complete information, you should read the entire deposit agreement and the form of ADR. Notwithstanding this, because it is a summary, it may not contain all the information that you may otherwise deem important. For more complete information, you should read the entire deposit agreement and the form of ADR which contains the terms of your ADSs. The deposit agreement and the form of ADR have been filed with the SEC in Exhibit 4.3 to a Registration Statement on Form F-1 (File No. 333-256881) for our company, as amended, on November 7,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Dividends and Other Distributions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will you receive dividends and other distributions on the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Cash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Before making a distribution, any withholding taxes, or other governmental charges that must be paid will be deducted. See “Taxation.” The depositary will distribute only whole U.S. dollars and cents and will round fractional cents to the nearest whole cent. </w:t>
      </w:r>
      <w:r>
        <w:rPr>
          <w:rFonts w:ascii="Times New Roman;Times;serif" w:hAnsi="Times New Roman;Times;serif"/>
          <w:i/>
          <w:sz w:val="20"/>
        </w:rPr>
        <w:t>If the exchange rates fluctuate during a time when the depositary cannot convert the foreign currency, you may lose some of the value of the distribution.</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spacing w:before="0" w:after="0"/>
        <w:ind w:left="0" w:right="0" w:hanging="0"/>
        <w:rPr/>
      </w:pPr>
      <w:r>
        <w:rPr/>
        <w:t>​</w:t>
      </w:r>
    </w:p>
    <w:p>
      <w:pPr>
        <w:pStyle w:val="HorizontalLine"/>
        <w:rPr/>
      </w:pPr>
      <w:r>
        <w:rPr/>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Rights to purchase additional shares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Other Distributions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Deposit, Withdrawal and Cancellation</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are ADSs issued?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can ADS holders withdraw the deposited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spacing w:before="0" w:after="0"/>
        <w:ind w:left="0" w:right="0" w:hanging="0"/>
        <w:rPr/>
      </w:pPr>
      <w:r>
        <w:rPr/>
        <w:t>​</w:t>
      </w:r>
    </w:p>
    <w:p>
      <w:pPr>
        <w:pStyle w:val="HorizontalLine"/>
        <w:rPr/>
      </w:pPr>
      <w:r>
        <w:rPr/>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do ADS holders interchange between certificated ADSs and uncertificated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Voting Rights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do you vote?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Except by instructing the depositary as described above, you won’t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40 days in advance of the meeting 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Tender and Exchange Offers; Redemption, Replacement or Cancellation of Deposited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there is any change in the deposited securities such as a sub-division, combination or other reclassification, or any merger, consolidation, recapitalization or reorganization affecting the issuer of</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Amendment and Termination</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may the deposit agreement be amended?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i/>
          <w:sz w:val="20"/>
        </w:rPr>
        <w:t>At the time an amendment becomes effective, you are considered, by continuing to hold the ADSs, to agree to the amendment and to be bound by the ADRs and the deposit agreement as amended</w:t>
      </w:r>
      <w:r>
        <w:rPr>
          <w:rFonts w:ascii="Times New Roman;Times;serif" w:hAnsi="Times New Roman;Times;serif"/>
          <w:sz w:val="20"/>
        </w:rPr>
        <w:t>.</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How may the deposit agreement be terminated?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will initiate termination of the deposit agreement if we instruct it to do so. The depositary may initiate termination of the deposit agreement if</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60 days have passed since the depositary told us it wants to resign but a successor depositary has not been appointed and accepted its appointment;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we delist the ADSs from an exchange in the United States on which they were listed and do not list the ADSs on another exchange in the United States or make arrangements for trading of ADSs on the U.S. over-the-counter market;</w:t>
            </w:r>
          </w:p>
        </w:tc>
      </w:tr>
    </w:tbl>
    <w:tbl>
      <w:tblPr>
        <w:tblW w:w="4908" w:type="dxa"/>
        <w:jc w:val="left"/>
        <w:tblInd w:w="0" w:type="dxa"/>
        <w:tblCellMar>
          <w:top w:w="0" w:type="dxa"/>
          <w:left w:w="0" w:type="dxa"/>
          <w:bottom w:w="0" w:type="dxa"/>
          <w:right w:w="0" w:type="dxa"/>
        </w:tblCellMar>
      </w:tblPr>
      <w:tblGrid>
        <w:gridCol w:w="23"/>
        <w:gridCol w:w="95"/>
        <w:gridCol w:w="479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479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we appear to be insolvent or enter insolvency proceedings;</w:t>
            </w:r>
          </w:p>
        </w:tc>
      </w:tr>
    </w:tbl>
    <w:tbl>
      <w:tblPr>
        <w:tblW w:w="9888" w:type="dxa"/>
        <w:jc w:val="left"/>
        <w:tblInd w:w="0" w:type="dxa"/>
        <w:tblCellMar>
          <w:top w:w="0" w:type="dxa"/>
          <w:left w:w="0" w:type="dxa"/>
          <w:bottom w:w="0" w:type="dxa"/>
          <w:right w:w="0" w:type="dxa"/>
        </w:tblCellMar>
      </w:tblPr>
      <w:tblGrid>
        <w:gridCol w:w="23"/>
        <w:gridCol w:w="95"/>
        <w:gridCol w:w="97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97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or substantially all the value of the deposited securities has been distributed either in cash or in the form of securities;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there are no deposited securities underlying the ADSs or the underlying deposited securities have become apparently worthless; or</w:t>
            </w:r>
          </w:p>
        </w:tc>
      </w:tr>
    </w:tbl>
    <w:tbl>
      <w:tblPr>
        <w:tblW w:w="4368" w:type="dxa"/>
        <w:jc w:val="left"/>
        <w:tblInd w:w="0" w:type="dxa"/>
        <w:tblCellMar>
          <w:top w:w="0" w:type="dxa"/>
          <w:left w:w="0" w:type="dxa"/>
          <w:bottom w:w="0" w:type="dxa"/>
          <w:right w:w="0" w:type="dxa"/>
        </w:tblCellMar>
      </w:tblPr>
      <w:tblGrid>
        <w:gridCol w:w="23"/>
        <w:gridCol w:w="95"/>
        <w:gridCol w:w="425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425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there has been a replacement of deposited securities.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for the pro rata benefit of the ADS holders that have not surrendered their ADSs. Normally, the depositary will sell as soon as practicable after the termination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Limitations on Obligations and Liability</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Limits on our Obligations and the Obligations of the Depositary; Limits on Liability to Holders of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 agreement expressly limits our obligations and the obligations of the depositary. It also limits our liability and the liability of the depositary. We and the depositary:</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negligence or bad faith, and the depositary will not be a fiduciary or have any fiduciary duty to holders of ADSs;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are not liable if we are or it is prevented or delayed by law or by events or circumstances beyond our or its ability to prevent or counteract with reasonable care or effort from performing our or its obligations under the deposit agreement;</w:t>
            </w:r>
          </w:p>
        </w:tc>
      </w:tr>
    </w:tbl>
    <w:tbl>
      <w:tblPr>
        <w:tblW w:w="6873" w:type="dxa"/>
        <w:jc w:val="left"/>
        <w:tblInd w:w="0" w:type="dxa"/>
        <w:tblCellMar>
          <w:top w:w="0" w:type="dxa"/>
          <w:left w:w="0" w:type="dxa"/>
          <w:bottom w:w="0" w:type="dxa"/>
          <w:right w:w="0" w:type="dxa"/>
        </w:tblCellMar>
      </w:tblPr>
      <w:tblGrid>
        <w:gridCol w:w="23"/>
        <w:gridCol w:w="95"/>
        <w:gridCol w:w="675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675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are not liable if we or it exercises discretion permitted under the deposit agreement;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or on behalf of any other person;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may rely upon any documents we believe or it believes in good faith to be genuine and to have been signed or presented by the proper person;</w:t>
            </w:r>
          </w:p>
        </w:tc>
      </w:tr>
    </w:tbl>
    <w:tbl>
      <w:tblPr>
        <w:tblW w:w="8958" w:type="dxa"/>
        <w:jc w:val="left"/>
        <w:tblInd w:w="0" w:type="dxa"/>
        <w:tblCellMar>
          <w:top w:w="0" w:type="dxa"/>
          <w:left w:w="0" w:type="dxa"/>
          <w:bottom w:w="0" w:type="dxa"/>
          <w:right w:w="0" w:type="dxa"/>
        </w:tblCellMar>
      </w:tblPr>
      <w:tblGrid>
        <w:gridCol w:w="23"/>
        <w:gridCol w:w="95"/>
        <w:gridCol w:w="884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884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are not liable for the acts or omissions of any securities depository, clearing agency or settlement system;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the deposit agreement, we and the depositary agree to indemnify each other under certain circumstances.</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Requirements for Depositary Actions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Before the depositary will deliver or register a transfer of ADSs, make a distribution on ADSs, or permit withdrawal of shares, the depositary may require:</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shares or other deposited securities;</w:t>
            </w:r>
          </w:p>
        </w:tc>
      </w:tr>
    </w:tbl>
    <w:tbl>
      <w:tblPr>
        <w:tblW w:w="9123" w:type="dxa"/>
        <w:jc w:val="left"/>
        <w:tblInd w:w="0" w:type="dxa"/>
        <w:tblCellMar>
          <w:top w:w="0" w:type="dxa"/>
          <w:left w:w="0" w:type="dxa"/>
          <w:bottom w:w="0" w:type="dxa"/>
          <w:right w:w="0" w:type="dxa"/>
        </w:tblCellMar>
      </w:tblPr>
      <w:tblGrid>
        <w:gridCol w:w="23"/>
        <w:gridCol w:w="95"/>
        <w:gridCol w:w="900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900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may refuse to deliver ADSs or register transfers of ADSs when the transfer books of the depositary or our transfer books are closed or at any time if the depositary or we think it advisable to do so.</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Your Right to Receive the Shares Underlying the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ADS holders have the right to cancel their ADSs and withdraw the underlying shares at any time except: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when temporary delays arise because: (i) the depositary has closed its transfer books or we have closed our transfer books; (ii) the transfer of shares is blocked to permit voting at a shareholders’ meeting; or (iii) we are paying a dividend on our shares;</w:t>
            </w:r>
          </w:p>
        </w:tc>
      </w:tr>
    </w:tbl>
    <w:tbl>
      <w:tblPr>
        <w:tblW w:w="5208" w:type="dxa"/>
        <w:jc w:val="left"/>
        <w:tblInd w:w="0" w:type="dxa"/>
        <w:tblCellMar>
          <w:top w:w="0" w:type="dxa"/>
          <w:left w:w="0" w:type="dxa"/>
          <w:bottom w:w="0" w:type="dxa"/>
          <w:right w:w="0" w:type="dxa"/>
        </w:tblCellMar>
      </w:tblPr>
      <w:tblGrid>
        <w:gridCol w:w="23"/>
        <w:gridCol w:w="95"/>
        <w:gridCol w:w="509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509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when you owe money to pay fees, taxes and similar charges; or</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shares or other deposited securities.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This right of withdrawal may not be limited by any other provision of the deposit agreement.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Direct Registration System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w:t>
      </w:r>
    </w:p>
    <w:p>
      <w:pPr>
        <w:pStyle w:val="TextBody"/>
        <w:spacing w:before="0" w:after="0"/>
        <w:ind w:left="0" w:right="0" w:hanging="0"/>
        <w:rPr/>
      </w:pPr>
      <w:r>
        <w:rPr/>
        <w:t>​</w:t>
      </w:r>
    </w:p>
    <w:p>
      <w:pPr>
        <w:pStyle w:val="HorizontalLine"/>
        <w:rPr/>
      </w:pPr>
      <w:r>
        <w:rPr/>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instructions received by the depositary through the DRS/Profile system and in accordance with the deposit agreement will not constitute negligence or bad faith on the part of the depositary.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Shareholder communications; inspection of register of holders of ADSs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Jury Trial Waiver</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You will not, by agreeing to the terms of the deposit agreement, be deemed to have waived our or the depositary’s compliance with U.S. federal securities laws or the rules and regulations promulgated thereunder.</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281" w:name="atat-20221231xex8d1.htm"/>
      <w:bookmarkStart w:id="2282" w:name="ksatat20221231xex8d1"/>
      <w:bookmarkEnd w:id="2281"/>
      <w:bookmarkEnd w:id="2282"/>
      <w:r>
        <w:rPr>
          <w:rFonts w:ascii="Times New Roman;Times;serif" w:hAnsi="Times New Roman;Times;serif"/>
          <w:b/>
          <w:sz w:val="20"/>
        </w:rPr>
        <w:t>Exhibit 8.1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Significant Subsidiaries of the Registrant</w:t>
      </w:r>
    </w:p>
    <w:p>
      <w:pPr>
        <w:pStyle w:val="TextBody"/>
        <w:spacing w:before="0" w:after="0"/>
        <w:ind w:left="0" w:right="0" w:hanging="0"/>
        <w:jc w:val="center"/>
        <w:rPr/>
      </w:pPr>
      <w:r>
        <w:rPr/>
        <w:t>​</w:t>
      </w:r>
    </w:p>
    <w:tbl>
      <w:tblPr>
        <w:tblW w:w="6643" w:type="dxa"/>
        <w:jc w:val="left"/>
        <w:tblInd w:w="0" w:type="dxa"/>
        <w:tblCellMar>
          <w:top w:w="0" w:type="dxa"/>
          <w:left w:w="0" w:type="dxa"/>
          <w:bottom w:w="0" w:type="dxa"/>
          <w:right w:w="0" w:type="dxa"/>
        </w:tblCellMar>
      </w:tblPr>
      <w:tblGrid>
        <w:gridCol w:w="4576"/>
        <w:gridCol w:w="266"/>
        <w:gridCol w:w="1801"/>
      </w:tblGrid>
      <w:tr>
        <w:trPr/>
        <w:tc>
          <w:tcPr>
            <w:tcW w:w="4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905760" cy="29210"/>
                      <wp:effectExtent l="0" t="0" r="0" b="0"/>
                      <wp:wrapNone/>
                      <wp:docPr id="586" name="Frame578"/>
                      <a:graphic xmlns:a="http://schemas.openxmlformats.org/drawingml/2006/main">
                        <a:graphicData uri="http://schemas.microsoft.com/office/word/2010/wordprocessingShape">
                          <wps:wsp>
                            <wps:cNvSpPr txBox="1"/>
                            <wps:spPr>
                              <a:xfrm>
                                <a:off x="0" y="0"/>
                                <a:ext cx="2905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68910" cy="29210"/>
                      <wp:effectExtent l="0" t="0" r="0" b="0"/>
                      <wp:wrapNone/>
                      <wp:docPr id="587" name="Frame579"/>
                      <a:graphic xmlns:a="http://schemas.openxmlformats.org/drawingml/2006/main">
                        <a:graphicData uri="http://schemas.microsoft.com/office/word/2010/wordprocessingShape">
                          <wps:wsp>
                            <wps:cNvSpPr txBox="1"/>
                            <wps:spPr>
                              <a:xfrm>
                                <a:off x="0" y="0"/>
                                <a:ext cx="168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143635" cy="29210"/>
                      <wp:effectExtent l="0" t="0" r="0" b="0"/>
                      <wp:wrapNone/>
                      <wp:docPr id="588" name="Frame580"/>
                      <a:graphic xmlns:a="http://schemas.openxmlformats.org/drawingml/2006/main">
                        <a:graphicData uri="http://schemas.microsoft.com/office/word/2010/wordprocessingShape">
                          <wps:wsp>
                            <wps:cNvSpPr txBox="1"/>
                            <wps:spPr>
                              <a:xfrm>
                                <a:off x="0" y="0"/>
                                <a:ext cx="11436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457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Significant Subsidiaries</w:t>
            </w:r>
          </w:p>
        </w:tc>
        <w:tc>
          <w:tcPr>
            <w:tcW w:w="266" w:type="dxa"/>
            <w:tcBorders>
              <w:bottom w:val="single" w:sz="8" w:space="0" w:color="000000"/>
            </w:tcBorders>
            <w:shd w:fill="auto" w:val="clear"/>
            <w:tcMar>
              <w:bottom w:w="28" w:type="dxa"/>
            </w:tcMar>
            <w:vAlign w:val="center"/>
          </w:tcPr>
          <w:p>
            <w:pPr>
              <w:pStyle w:val="TableContents"/>
              <w:spacing w:before="0" w:after="0"/>
              <w:ind w:left="0" w:right="0" w:hanging="0"/>
              <w:jc w:val="center"/>
              <w:rPr/>
            </w:pPr>
            <w:r>
              <w:rPr/>
              <w:t>   </w:t>
            </w:r>
          </w:p>
        </w:tc>
        <w:tc>
          <w:tcPr>
            <w:tcW w:w="180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Place of Incorporation</w:t>
            </w:r>
          </w:p>
        </w:tc>
      </w:tr>
      <w:tr>
        <w:trPr/>
        <w:tc>
          <w:tcPr>
            <w:tcW w:w="4576" w:type="dxa"/>
            <w:tcBorders>
              <w:top w:val="single" w:sz="8"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Atour Hotel (HK) Holdings Limited</w:t>
            </w:r>
          </w:p>
        </w:tc>
        <w:tc>
          <w:tcPr>
            <w:tcW w:w="266" w:type="dxa"/>
            <w:tcBorders/>
            <w:shd w:fill="CCEEFF" w:val="clear"/>
            <w:vAlign w:val="center"/>
          </w:tcPr>
          <w:p>
            <w:pPr>
              <w:pStyle w:val="TableContents"/>
              <w:spacing w:before="0" w:after="0"/>
              <w:ind w:left="0" w:right="0" w:hanging="0"/>
              <w:rPr/>
            </w:pPr>
            <w:r>
              <w:rPr/>
              <w:t> </w:t>
            </w:r>
          </w:p>
        </w:tc>
        <w:tc>
          <w:tcPr>
            <w:tcW w:w="1801" w:type="dxa"/>
            <w:tcBorders>
              <w:top w:val="single" w:sz="8"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4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Atour Business Management Group Co., Ltd.</w:t>
            </w:r>
          </w:p>
        </w:tc>
        <w:tc>
          <w:tcPr>
            <w:tcW w:w="266" w:type="dxa"/>
            <w:tcBorders/>
            <w:shd w:fill="auto" w:val="clear"/>
            <w:vAlign w:val="center"/>
          </w:tcPr>
          <w:p>
            <w:pPr>
              <w:pStyle w:val="TableContents"/>
              <w:spacing w:before="0" w:after="0"/>
              <w:ind w:left="0" w:right="0" w:hanging="0"/>
              <w:rPr/>
            </w:pPr>
            <w:r>
              <w:rPr/>
              <w:t> </w:t>
            </w:r>
          </w:p>
        </w:tc>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4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Shankuai Information Technology Co., Ltd.</w:t>
            </w:r>
          </w:p>
        </w:tc>
        <w:tc>
          <w:tcPr>
            <w:tcW w:w="266" w:type="dxa"/>
            <w:tcBorders/>
            <w:shd w:fill="CCEEFF" w:val="clear"/>
            <w:vAlign w:val="center"/>
          </w:tcPr>
          <w:p>
            <w:pPr>
              <w:pStyle w:val="TableContents"/>
              <w:spacing w:before="0" w:after="0"/>
              <w:ind w:left="0" w:right="0" w:hanging="0"/>
              <w:rPr/>
            </w:pPr>
            <w:r>
              <w:rPr/>
              <w:t> </w:t>
            </w:r>
          </w:p>
        </w:tc>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4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Jiangduo Information Technology Co., Ltd.</w:t>
            </w:r>
          </w:p>
        </w:tc>
        <w:tc>
          <w:tcPr>
            <w:tcW w:w="26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283" w:name="atat-20221231xex12d1.htm"/>
      <w:bookmarkStart w:id="2284" w:name="ksatat20221231xex12d1"/>
      <w:bookmarkEnd w:id="2283"/>
      <w:bookmarkEnd w:id="2284"/>
      <w:r>
        <w:rPr>
          <w:rFonts w:ascii="Times New Roman;Times;serif" w:hAnsi="Times New Roman;Times;serif"/>
          <w:b/>
          <w:sz w:val="20"/>
        </w:rPr>
        <w:t>Exhibit 12.1</w:t>
      </w:r>
    </w:p>
    <w:p>
      <w:pPr>
        <w:pStyle w:val="TextBody"/>
        <w:spacing w:before="0" w:after="0"/>
        <w:ind w:left="0" w:right="0" w:hanging="0"/>
        <w:jc w:val="right"/>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Haijun Wang, certify that:</w:t>
      </w:r>
    </w:p>
    <w:tbl>
      <w:tblPr>
        <w:tblW w:w="8500" w:type="dxa"/>
        <w:jc w:val="left"/>
        <w:tblInd w:w="0" w:type="dxa"/>
        <w:tblCellMar>
          <w:top w:w="0" w:type="dxa"/>
          <w:left w:w="0" w:type="dxa"/>
          <w:bottom w:w="0" w:type="dxa"/>
          <w:right w:w="0" w:type="dxa"/>
        </w:tblCellMar>
      </w:tblPr>
      <w:tblGrid>
        <w:gridCol w:w="170"/>
        <w:gridCol w:w="8330"/>
      </w:tblGrid>
      <w:tr>
        <w:trPr/>
        <w:tc>
          <w:tcPr>
            <w:tcW w:w="1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833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 have reviewed this annual report on Form 20-F of Atour Lifestyle Holdings Limited (the “company”);</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4.</w:t>
            </w:r>
          </w:p>
        </w:tc>
        <w:tc>
          <w:tcPr>
            <w:tcW w:w="1005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for the company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143" w:type="dxa"/>
        <w:jc w:val="left"/>
        <w:tblInd w:w="0" w:type="dxa"/>
        <w:tblCellMar>
          <w:top w:w="0" w:type="dxa"/>
          <w:left w:w="0" w:type="dxa"/>
          <w:bottom w:w="0" w:type="dxa"/>
          <w:right w:w="0" w:type="dxa"/>
        </w:tblCellMar>
      </w:tblPr>
      <w:tblGrid>
        <w:gridCol w:w="23"/>
        <w:gridCol w:w="245"/>
        <w:gridCol w:w="87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87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[reserved];</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9"/>
        <w:gridCol w:w="9973"/>
      </w:tblGrid>
      <w:tr>
        <w:trPr/>
        <w:tc>
          <w:tcPr>
            <w:tcW w:w="2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w:t>
            </w:r>
          </w:p>
        </w:tc>
        <w:tc>
          <w:tcPr>
            <w:tcW w:w="997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5.</w:t>
            </w:r>
          </w:p>
        </w:tc>
        <w:tc>
          <w:tcPr>
            <w:tcW w:w="1005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3171" w:type="dxa"/>
        <w:jc w:val="center"/>
        <w:tblInd w:w="0" w:type="dxa"/>
        <w:tblCellMar>
          <w:top w:w="0" w:type="dxa"/>
          <w:left w:w="0" w:type="dxa"/>
          <w:bottom w:w="0" w:type="dxa"/>
          <w:right w:w="0" w:type="dxa"/>
        </w:tblCellMar>
      </w:tblPr>
      <w:tblGrid>
        <w:gridCol w:w="124"/>
        <w:gridCol w:w="631"/>
        <w:gridCol w:w="2416"/>
      </w:tblGrid>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28, 2023</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/s/Haijun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Haijun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285" w:name="atat-20221231xex12d2.htm"/>
      <w:bookmarkStart w:id="2286" w:name="ksatat20221231xex12d2"/>
      <w:bookmarkEnd w:id="2285"/>
      <w:bookmarkEnd w:id="2286"/>
      <w:r>
        <w:rPr>
          <w:rFonts w:ascii="Times New Roman;Times;serif" w:hAnsi="Times New Roman;Times;serif"/>
          <w:b/>
          <w:sz w:val="20"/>
        </w:rPr>
        <w:t>Exhibit 12.2</w:t>
      </w:r>
    </w:p>
    <w:p>
      <w:pPr>
        <w:pStyle w:val="TextBody"/>
        <w:spacing w:before="0" w:after="0"/>
        <w:ind w:left="0" w:right="0" w:hanging="0"/>
        <w:jc w:val="right"/>
        <w:rPr/>
      </w:pPr>
      <w:r>
        <w:rPr/>
        <w:t>​</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Shoudong Wang, certify that:</w:t>
      </w:r>
    </w:p>
    <w:tbl>
      <w:tblPr>
        <w:tblW w:w="8500" w:type="dxa"/>
        <w:jc w:val="left"/>
        <w:tblInd w:w="0" w:type="dxa"/>
        <w:tblCellMar>
          <w:top w:w="0" w:type="dxa"/>
          <w:left w:w="0" w:type="dxa"/>
          <w:bottom w:w="0" w:type="dxa"/>
          <w:right w:w="0" w:type="dxa"/>
        </w:tblCellMar>
      </w:tblPr>
      <w:tblGrid>
        <w:gridCol w:w="170"/>
        <w:gridCol w:w="8330"/>
      </w:tblGrid>
      <w:tr>
        <w:trPr/>
        <w:tc>
          <w:tcPr>
            <w:tcW w:w="1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833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 have reviewed this annual report on Form 20-F of Atour Lifestyle Holdings Limited (the “company”);</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4.</w:t>
            </w:r>
          </w:p>
        </w:tc>
        <w:tc>
          <w:tcPr>
            <w:tcW w:w="1005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for the company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143" w:type="dxa"/>
        <w:jc w:val="left"/>
        <w:tblInd w:w="0" w:type="dxa"/>
        <w:tblCellMar>
          <w:top w:w="0" w:type="dxa"/>
          <w:left w:w="0" w:type="dxa"/>
          <w:bottom w:w="0" w:type="dxa"/>
          <w:right w:w="0" w:type="dxa"/>
        </w:tblCellMar>
      </w:tblPr>
      <w:tblGrid>
        <w:gridCol w:w="23"/>
        <w:gridCol w:w="245"/>
        <w:gridCol w:w="87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87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[reserved];</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9"/>
        <w:gridCol w:w="9973"/>
      </w:tblGrid>
      <w:tr>
        <w:trPr/>
        <w:tc>
          <w:tcPr>
            <w:tcW w:w="2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w:t>
            </w:r>
          </w:p>
        </w:tc>
        <w:tc>
          <w:tcPr>
            <w:tcW w:w="997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5.</w:t>
            </w:r>
          </w:p>
        </w:tc>
        <w:tc>
          <w:tcPr>
            <w:tcW w:w="1005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3096" w:type="dxa"/>
        <w:jc w:val="center"/>
        <w:tblInd w:w="0" w:type="dxa"/>
        <w:tblCellMar>
          <w:top w:w="0" w:type="dxa"/>
          <w:left w:w="0" w:type="dxa"/>
          <w:bottom w:w="0" w:type="dxa"/>
          <w:right w:w="0" w:type="dxa"/>
        </w:tblCellMar>
      </w:tblPr>
      <w:tblGrid>
        <w:gridCol w:w="124"/>
        <w:gridCol w:w="631"/>
        <w:gridCol w:w="2341"/>
      </w:tblGrid>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234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jc w:val="right"/>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28, 2023</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3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/s/Shoudong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3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Shoudong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Co-Chief Financial Officer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287" w:name="atat-20221231xex13d1.htm"/>
      <w:bookmarkStart w:id="2288" w:name="ksatat20221231xex13d1"/>
      <w:bookmarkEnd w:id="2287"/>
      <w:bookmarkEnd w:id="2288"/>
      <w:r>
        <w:rPr>
          <w:rFonts w:ascii="Times New Roman;Times;serif" w:hAnsi="Times New Roman;Times;serif"/>
          <w:b/>
          <w:sz w:val="20"/>
        </w:rPr>
        <w:t>Exhibit 13.1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In connection with the Annual Report of Atour Lifestyle Holdings Limited (the “Company”) on Form 20-F for the year ended December 31, 2022 as filed with the Securities and Exchange Commission on the date hereof (the “Report”), I, Haijun Wang, Chief Executive Officer of the Company, certify, pursuant to 18 U.S.C. Section 1350, as adopted pursuant to Section 906 of the Sarbanes-Oxley Act of 2002, that to my knowledge:</w:t>
      </w:r>
    </w:p>
    <w:tbl>
      <w:tblPr>
        <w:tblW w:w="9835" w:type="dxa"/>
        <w:jc w:val="left"/>
        <w:tblInd w:w="0" w:type="dxa"/>
        <w:tblCellMar>
          <w:top w:w="0" w:type="dxa"/>
          <w:left w:w="0" w:type="dxa"/>
          <w:bottom w:w="0" w:type="dxa"/>
          <w:right w:w="0" w:type="dxa"/>
        </w:tblCellMar>
      </w:tblPr>
      <w:tblGrid>
        <w:gridCol w:w="245"/>
        <w:gridCol w:w="9590"/>
      </w:tblGrid>
      <w:tr>
        <w:trPr/>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99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3171" w:type="dxa"/>
        <w:jc w:val="center"/>
        <w:tblInd w:w="0" w:type="dxa"/>
        <w:tblCellMar>
          <w:top w:w="0" w:type="dxa"/>
          <w:left w:w="0" w:type="dxa"/>
          <w:bottom w:w="0" w:type="dxa"/>
          <w:right w:w="0" w:type="dxa"/>
        </w:tblCellMar>
      </w:tblPr>
      <w:tblGrid>
        <w:gridCol w:w="124"/>
        <w:gridCol w:w="631"/>
        <w:gridCol w:w="2416"/>
      </w:tblGrid>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28, 2023</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/s/Haijun Wang</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Haijun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289" w:name="atat-20221231xex13d2.htm"/>
      <w:bookmarkStart w:id="2290" w:name="ksatat20221231xex13d2"/>
      <w:bookmarkEnd w:id="2289"/>
      <w:bookmarkEnd w:id="2290"/>
      <w:r>
        <w:rPr>
          <w:rFonts w:ascii="Times New Roman;Times;serif" w:hAnsi="Times New Roman;Times;serif"/>
          <w:b/>
          <w:sz w:val="20"/>
        </w:rPr>
        <w:t>Exhibit 13.2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240"/>
        <w:ind w:left="0" w:right="0" w:firstLine="490"/>
        <w:rPr>
          <w:rFonts w:ascii="Times New Roman;Times;serif" w:hAnsi="Times New Roman;Times;serif"/>
          <w:sz w:val="20"/>
        </w:rPr>
      </w:pPr>
      <w:r>
        <w:rPr>
          <w:rFonts w:ascii="Times New Roman;Times;serif" w:hAnsi="Times New Roman;Times;serif"/>
          <w:sz w:val="20"/>
        </w:rPr>
        <w:t>In connection with the Annual Report of Atour Lifestyle Holdings Limited (the “Company”) on Form 20-F for the year ended December 31, 2022 as filed with the Securities and Exchange Commission on the date hereof (the “Report”), I, Shoudong Wang, Co-Chief Financial Officer of the Company, certify, pursuant to 18 U.S.C. Section 1350, as adopted pursuant to Section 906 of the Sarbanes-Oxley Act of 2002, that to my knowledge:</w:t>
      </w:r>
    </w:p>
    <w:tbl>
      <w:tblPr>
        <w:tblW w:w="9835" w:type="dxa"/>
        <w:jc w:val="left"/>
        <w:tblInd w:w="0" w:type="dxa"/>
        <w:tblCellMar>
          <w:top w:w="0" w:type="dxa"/>
          <w:left w:w="0" w:type="dxa"/>
          <w:bottom w:w="0" w:type="dxa"/>
          <w:right w:w="0" w:type="dxa"/>
        </w:tblCellMar>
      </w:tblPr>
      <w:tblGrid>
        <w:gridCol w:w="245"/>
        <w:gridCol w:w="9590"/>
      </w:tblGrid>
      <w:tr>
        <w:trPr/>
        <w:tc>
          <w:tcPr>
            <w:tcW w:w="2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(2)</w:t>
            </w:r>
          </w:p>
        </w:tc>
        <w:tc>
          <w:tcPr>
            <w:tcW w:w="997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3096" w:type="dxa"/>
        <w:jc w:val="center"/>
        <w:tblInd w:w="0" w:type="dxa"/>
        <w:tblCellMar>
          <w:top w:w="0" w:type="dxa"/>
          <w:left w:w="0" w:type="dxa"/>
          <w:bottom w:w="0" w:type="dxa"/>
          <w:right w:w="0" w:type="dxa"/>
        </w:tblCellMar>
      </w:tblPr>
      <w:tblGrid>
        <w:gridCol w:w="124"/>
        <w:gridCol w:w="631"/>
        <w:gridCol w:w="2341"/>
      </w:tblGrid>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28, 2023</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By:</w:t>
            </w:r>
          </w:p>
        </w:tc>
        <w:tc>
          <w:tcPr>
            <w:tcW w:w="2341" w:type="dxa"/>
            <w:tcBorders>
              <w:bottom w:val="single" w:sz="2" w:space="0" w:color="000000"/>
            </w:tcBorders>
            <w:shd w:fill="auto" w:val="clear"/>
            <w:tcMar>
              <w:bottom w:w="28"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/s/Shoudong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3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Shoudong Wang</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Co-Chief Financial Officer</w:t>
            </w:r>
          </w:p>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1"/>
        </w:rPr>
      </w:pPr>
      <w:bookmarkStart w:id="2291" w:name="atat-20221231xex15d1.htm"/>
      <w:bookmarkStart w:id="2292" w:name="ksatat20221231xex15d1"/>
      <w:bookmarkEnd w:id="2291"/>
      <w:bookmarkEnd w:id="2292"/>
      <w:r>
        <w:rPr>
          <w:rFonts w:ascii="Times New Roman;Times;serif" w:hAnsi="Times New Roman;Times;serif"/>
          <w:b/>
          <w:sz w:val="21"/>
        </w:rPr>
        <w:t>Exhibit 15.1</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1"/>
        </w:rPr>
        <w:t>Our ref</w:t>
      </w:r>
      <w:r>
        <w:rPr>
          <w:rFonts w:ascii="Times New Roman;Times;serif" w:hAnsi="Times New Roman;Times;serif"/>
          <w:sz w:val="21"/>
        </w:rPr>
        <w:t>DLK/675005-000001/25896505v1</w:t>
      </w:r>
    </w:p>
    <w:p>
      <w:pPr>
        <w:pStyle w:val="TextBody"/>
        <w:spacing w:before="0" w:after="0"/>
        <w:ind w:left="0" w:right="0" w:hanging="0"/>
        <w:rPr>
          <w:rFonts w:ascii="Times New Roman;Times;serif" w:hAnsi="Times New Roman;Times;serif"/>
          <w:sz w:val="20"/>
        </w:rPr>
      </w:pPr>
      <w:r>
        <w:rPr>
          <w:rFonts w:ascii="Times New Roman;Times;serif" w:hAnsi="Times New Roman;Times;serif"/>
          <w:b/>
          <w:i w:val="false"/>
          <w:caps w:val="false"/>
          <w:smallCaps w:val="false"/>
          <w:sz w:val="21"/>
        </w:rPr>
        <w:t>Direct tel</w:t>
      </w:r>
      <w:r>
        <w:rPr>
          <w:rFonts w:ascii="Times New Roman;Times;serif" w:hAnsi="Times New Roman;Times;serif"/>
          <w:sz w:val="21"/>
        </w:rPr>
        <w:t>+852 2971 3006</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1"/>
        </w:rPr>
        <w:t>Email</w:t>
      </w:r>
      <w:r>
        <w:rPr>
          <w:rFonts w:ascii="Times New Roman;Times;serif" w:hAnsi="Times New Roman;Times;serif"/>
          <w:sz w:val="21"/>
        </w:rPr>
        <w:t>Derrick.Kan@maples.com</w:t>
      </w:r>
    </w:p>
    <w:p>
      <w:pPr>
        <w:pStyle w:val="TextBody"/>
        <w:spacing w:before="0" w:after="0"/>
        <w:ind w:left="0" w:right="0" w:hanging="0"/>
        <w:rPr>
          <w:rFonts w:ascii="Times New Roman;Times;serif" w:hAnsi="Times New Roman;Times;serif"/>
          <w:b/>
          <w:sz w:val="21"/>
        </w:rPr>
      </w:pPr>
      <w:r>
        <w:rPr>
          <w:rFonts w:ascii="Times New Roman;Times;serif" w:hAnsi="Times New Roman;Times;serif"/>
          <w:b/>
          <w:sz w:val="21"/>
        </w:rPr>
        <w:t>ATOUR LIFESTYLE HOLDINGS LIMITED</w:t>
      </w:r>
    </w:p>
    <w:p>
      <w:pPr>
        <w:pStyle w:val="TextBody"/>
        <w:spacing w:before="0" w:after="0"/>
        <w:ind w:left="0" w:right="0" w:hanging="0"/>
        <w:rPr>
          <w:rFonts w:ascii="Times New Roman;Times;serif" w:hAnsi="Times New Roman;Times;serif"/>
          <w:sz w:val="21"/>
        </w:rPr>
      </w:pPr>
      <w:r>
        <w:rPr>
          <w:rFonts w:ascii="Times New Roman;Times;serif" w:hAnsi="Times New Roman;Times;serif"/>
          <w:sz w:val="21"/>
        </w:rPr>
        <w:t>18th Floor, Wuzhong Building, 618 Wuzhong Road, Minhang,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1"/>
        </w:rPr>
        <w:t>Shanghai, People</w:t>
      </w:r>
      <w:r>
        <w:rPr>
          <w:rFonts w:ascii="Times New Roman;Times;serif" w:hAnsi="Times New Roman;Times;serif"/>
          <w:sz w:val="20"/>
        </w:rPr>
        <w:t>’</w:t>
      </w:r>
      <w:r>
        <w:rPr>
          <w:rFonts w:ascii="Times New Roman;Times;serif" w:hAnsi="Times New Roman;Times;serif"/>
          <w:sz w:val="21"/>
        </w:rPr>
        <w:t>s Republic of China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1"/>
        </w:rPr>
        <w:t>28 April</w:t>
      </w:r>
      <w:r>
        <w:rPr>
          <w:rFonts w:ascii="Times New Roman;Times;serif" w:hAnsi="Times New Roman;Times;serif"/>
          <w:sz w:val="20"/>
        </w:rPr>
        <w:t xml:space="preserve"> </w:t>
      </w:r>
      <w:r>
        <w:rPr>
          <w:rFonts w:ascii="Times New Roman;Times;serif" w:hAnsi="Times New Roman;Times;serif"/>
          <w:sz w:val="21"/>
        </w:rPr>
        <w:t>2023</w:t>
      </w:r>
    </w:p>
    <w:p>
      <w:pPr>
        <w:pStyle w:val="TextBody"/>
        <w:spacing w:before="0" w:after="240"/>
        <w:ind w:left="0" w:right="0" w:hanging="0"/>
        <w:jc w:val="both"/>
        <w:rPr>
          <w:rFonts w:ascii="Times New Roman;Times;serif" w:hAnsi="Times New Roman;Times;serif"/>
          <w:sz w:val="21"/>
        </w:rPr>
      </w:pPr>
      <w:r>
        <w:rPr>
          <w:rFonts w:ascii="Times New Roman;Times;serif" w:hAnsi="Times New Roman;Times;serif"/>
          <w:sz w:val="21"/>
        </w:rPr>
        <w:t>Dear Sir and/or Madam</w:t>
      </w:r>
    </w:p>
    <w:p>
      <w:pPr>
        <w:pStyle w:val="TextBody"/>
        <w:spacing w:before="0" w:after="240"/>
        <w:ind w:left="0" w:right="0" w:hanging="0"/>
        <w:jc w:val="both"/>
        <w:rPr>
          <w:rFonts w:ascii="Times New Roman;Times;serif" w:hAnsi="Times New Roman;Times;serif"/>
          <w:b/>
          <w:sz w:val="21"/>
        </w:rPr>
      </w:pPr>
      <w:r>
        <w:rPr>
          <w:rFonts w:ascii="Times New Roman;Times;serif" w:hAnsi="Times New Roman;Times;serif"/>
          <w:b/>
          <w:sz w:val="21"/>
        </w:rPr>
        <w:t>ATOUR LIFESTYLE HOLDINGS LIMITED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1"/>
        </w:rPr>
        <w:t>We have acted as legal advisers as to the laws of the Cayman Islands to ATOUR LIFESTYLE HOLDINGS LIMITED, an exempted company with limited liability incorporated in the Cayman Islands (the "</w:t>
      </w:r>
      <w:r>
        <w:rPr>
          <w:rFonts w:ascii="Times New Roman;Times;serif" w:hAnsi="Times New Roman;Times;serif"/>
          <w:b/>
          <w:sz w:val="21"/>
        </w:rPr>
        <w:t>Company</w:t>
      </w:r>
      <w:r>
        <w:rPr>
          <w:rFonts w:ascii="Times New Roman;Times;serif" w:hAnsi="Times New Roman;Times;serif"/>
          <w:sz w:val="21"/>
        </w:rPr>
        <w:t>"), in connection with the filing by the Company with the United States Securities and Exchange Commission (the "</w:t>
      </w:r>
      <w:r>
        <w:rPr>
          <w:rFonts w:ascii="Times New Roman;Times;serif" w:hAnsi="Times New Roman;Times;serif"/>
          <w:b/>
          <w:sz w:val="21"/>
        </w:rPr>
        <w:t>SEC</w:t>
      </w:r>
      <w:r>
        <w:rPr>
          <w:rFonts w:ascii="Times New Roman;Times;serif" w:hAnsi="Times New Roman;Times;serif"/>
          <w:sz w:val="21"/>
        </w:rPr>
        <w:t xml:space="preserve">") of an annual report on Form 20-F for the year ended 31 December 2022 (the </w:t>
      </w:r>
      <w:r>
        <w:rPr>
          <w:rFonts w:ascii="Times New Roman;Times;serif" w:hAnsi="Times New Roman;Times;serif"/>
          <w:sz w:val="20"/>
        </w:rPr>
        <w:t>“</w:t>
      </w:r>
      <w:r>
        <w:rPr>
          <w:rFonts w:ascii="Times New Roman;Times;serif" w:hAnsi="Times New Roman;Times;serif"/>
          <w:b/>
          <w:sz w:val="21"/>
        </w:rPr>
        <w:t>Form 20-F</w:t>
      </w:r>
      <w:r>
        <w:rPr>
          <w:rFonts w:ascii="Times New Roman;Times;serif" w:hAnsi="Times New Roman;Times;serif"/>
          <w:sz w:val="20"/>
        </w:rPr>
        <w:t>”</w:t>
      </w:r>
      <w:r>
        <w:rPr>
          <w:rFonts w:ascii="Times New Roman;Times;serif" w:hAnsi="Times New Roman;Times;serif"/>
          <w:sz w:val="21"/>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1"/>
        </w:rPr>
        <w:t xml:space="preserve">We hereby consent to the reference of our firm under the heading "Item 10. Additional Information </w:t>
      </w:r>
      <w:r>
        <w:rPr>
          <w:rFonts w:ascii="Times New Roman;Times;serif" w:hAnsi="Times New Roman;Times;serif"/>
          <w:sz w:val="20"/>
        </w:rPr>
        <w:t xml:space="preserve">– </w:t>
      </w:r>
      <w:r>
        <w:rPr>
          <w:rFonts w:ascii="Times New Roman;Times;serif" w:hAnsi="Times New Roman;Times;serif"/>
          <w:sz w:val="21"/>
        </w:rPr>
        <w:t xml:space="preserve">E. Taxation </w:t>
      </w:r>
      <w:r>
        <w:rPr>
          <w:rFonts w:ascii="Times New Roman;Times;serif" w:hAnsi="Times New Roman;Times;serif"/>
          <w:sz w:val="20"/>
        </w:rPr>
        <w:t xml:space="preserve">– </w:t>
      </w:r>
      <w:r>
        <w:rPr>
          <w:rFonts w:ascii="Times New Roman;Times;serif" w:hAnsi="Times New Roman;Times;serif"/>
          <w:sz w:val="21"/>
        </w:rPr>
        <w:t>Cayman Islands Taxation" in the Form 20-F, and we further consent to the incorporation by reference of the summary of our opinions under this heading into the Company</w:t>
      </w:r>
      <w:r>
        <w:rPr>
          <w:rFonts w:ascii="Times New Roman;Times;serif" w:hAnsi="Times New Roman;Times;serif"/>
          <w:sz w:val="20"/>
        </w:rPr>
        <w:t>’</w:t>
      </w:r>
      <w:r>
        <w:rPr>
          <w:rFonts w:ascii="Times New Roman;Times;serif" w:hAnsi="Times New Roman;Times;serif"/>
          <w:sz w:val="21"/>
        </w:rPr>
        <w:t>s registration statement on Form S-8 (No. 333-269575) that was filed on 6 February 2023, pertaining to the Company</w:t>
      </w:r>
      <w:r>
        <w:rPr>
          <w:rFonts w:ascii="Times New Roman;Times;serif" w:hAnsi="Times New Roman;Times;serif"/>
          <w:sz w:val="20"/>
        </w:rPr>
        <w:t>’</w:t>
      </w:r>
      <w:r>
        <w:rPr>
          <w:rFonts w:ascii="Times New Roman;Times;serif" w:hAnsi="Times New Roman;Times;serif"/>
          <w:sz w:val="21"/>
        </w:rPr>
        <w:t>s Public Company Share Incentive Plan.</w:t>
      </w:r>
    </w:p>
    <w:p>
      <w:pPr>
        <w:pStyle w:val="TextBody"/>
        <w:spacing w:before="0" w:after="240"/>
        <w:ind w:left="0" w:right="0" w:hanging="0"/>
        <w:jc w:val="both"/>
        <w:rPr>
          <w:rFonts w:ascii="Times New Roman;Times;serif" w:hAnsi="Times New Roman;Times;serif"/>
          <w:sz w:val="21"/>
        </w:rPr>
      </w:pPr>
      <w:r>
        <w:rPr>
          <w:rFonts w:ascii="Times New Roman;Times;serif" w:hAnsi="Times New Roman;Times;serif"/>
          <w:sz w:val="21"/>
        </w:rPr>
        <w:t>We also consent to the filing with the SEC of this consent letter as an exhibit to the Annual Report. In giving such consent, we do not thereby admit that we come within the category of persons whose consent is required under Section 7 of the U.S. Securities Act of 1933, as amended, or under the Securities Exchange Act of 1934, in each case, as amended, or the regulations promulgated thereunder.</w:t>
      </w:r>
    </w:p>
    <w:p>
      <w:pPr>
        <w:pStyle w:val="TextBody"/>
        <w:spacing w:before="0" w:after="240"/>
        <w:ind w:left="0" w:right="0" w:hanging="0"/>
        <w:rPr>
          <w:rFonts w:ascii="Times New Roman;Times;serif" w:hAnsi="Times New Roman;Times;serif"/>
          <w:sz w:val="21"/>
        </w:rPr>
      </w:pPr>
      <w:r>
        <w:rPr>
          <w:rFonts w:ascii="Times New Roman;Times;serif" w:hAnsi="Times New Roman;Times;serif"/>
          <w:sz w:val="21"/>
        </w:rPr>
        <w:t>Yours faithfully</w:t>
      </w:r>
    </w:p>
    <w:p>
      <w:pPr>
        <w:pStyle w:val="TextBody"/>
        <w:spacing w:before="0" w:after="240"/>
        <w:ind w:left="0" w:right="0" w:hanging="0"/>
        <w:rPr>
          <w:rFonts w:ascii="Times New Roman;Times;serif" w:hAnsi="Times New Roman;Times;serif"/>
          <w:sz w:val="21"/>
        </w:rPr>
      </w:pPr>
      <w:r>
        <w:rPr>
          <w:rFonts w:ascii="Times New Roman;Times;serif" w:hAnsi="Times New Roman;Times;serif"/>
          <w:sz w:val="21"/>
        </w:rPr>
        <w:t>/s/ Maples and Calder (Hong Kong) LLP</w:t>
      </w:r>
    </w:p>
    <w:p>
      <w:pPr>
        <w:pStyle w:val="TextBody"/>
        <w:spacing w:before="0" w:after="240"/>
        <w:ind w:left="0" w:right="0" w:hanging="0"/>
        <w:rPr>
          <w:rFonts w:ascii="Times New Roman;Times;serif" w:hAnsi="Times New Roman;Times;serif"/>
          <w:sz w:val="21"/>
        </w:rPr>
      </w:pPr>
      <w:r>
        <w:rPr>
          <w:rFonts w:ascii="Times New Roman;Times;serif" w:hAnsi="Times New Roman;Times;serif"/>
          <w:sz w:val="21"/>
        </w:rPr>
        <w:t>Maples and Calder (Hong Kong) LLP</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2293" w:name="atat-20221231xex15d2.htm"/>
      <w:bookmarkStart w:id="2294" w:name="ksatat20221231xex15d2"/>
      <w:bookmarkEnd w:id="2293"/>
      <w:bookmarkEnd w:id="2294"/>
      <w:r>
        <w:rPr>
          <w:rFonts w:ascii="Times New Roman;Times;serif" w:hAnsi="Times New Roman;Times;serif"/>
          <w:b/>
          <w:sz w:val="20"/>
        </w:rPr>
        <w:t>Exhibit 15.2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consent to the incorporation by reference in the registration statement (No. 333-269575) on Form S-8 of our report dated April 28, 2023, with respect to the consolidated financial statements of Atour Lifestyle Holdings Limited.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 KPMG Huazhen LLP</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Shanghai, China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April 28, 2023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53717/000110465921117108/tm2111252d15_ex3-2.htm" TargetMode="External"/><Relationship Id="rId11" Type="http://schemas.openxmlformats.org/officeDocument/2006/relationships/hyperlink" Target="https://www.sec.gov/Archives/edgar/data/1853717/000104746921001215/a2243287zex-4_3.htm" TargetMode="External"/><Relationship Id="rId12" Type="http://schemas.openxmlformats.org/officeDocument/2006/relationships/hyperlink" Target="https://www.sec.gov/Archives/edgar/data/1853717/000104746921001215/a2243287zex-4_2.htm" TargetMode="External"/><Relationship Id="rId13" Type="http://schemas.openxmlformats.org/officeDocument/2006/relationships/hyperlink" Target="https://www.sec.gov/Archives/edgar/data/1853717/000104746921001215/a2243287zex-4_3.htm" TargetMode="External"/><Relationship Id="rId14" Type="http://schemas.openxmlformats.org/officeDocument/2006/relationships/hyperlink" Target="https://www.sec.gov/Archives/edgar/data/1853717/000104746921001175/a2243265zex-10_1.htm" TargetMode="External"/><Relationship Id="rId15" Type="http://schemas.openxmlformats.org/officeDocument/2006/relationships/hyperlink" Target="https://www.sec.gov/Archives/edgar/data/1853717/000104746921001175/a2243265zex-10_2.htm" TargetMode="External"/><Relationship Id="rId16" Type="http://schemas.openxmlformats.org/officeDocument/2006/relationships/hyperlink" Target="https://www.sec.gov/Archives/edgar/data/1853717/000104746921001175/a2243265zex-10_3.htm" TargetMode="External"/><Relationship Id="rId17" Type="http://schemas.openxmlformats.org/officeDocument/2006/relationships/hyperlink" Target="https://www.sec.gov/Archives/edgar/data/1853717/000104746921001175/a2243265zex-10_4.htm" TargetMode="External"/><Relationship Id="rId18" Type="http://schemas.openxmlformats.org/officeDocument/2006/relationships/hyperlink" Target="https://www.sec.gov/Archives/edgar/data/1853717/000104746921001175/a2243265zex-4_4.htm" TargetMode="External"/><Relationship Id="rId19" Type="http://schemas.openxmlformats.org/officeDocument/2006/relationships/hyperlink" Target="https://www.sec.gov/Archives/edgar/data/1853717/000104746921001175/a2243265zex-99_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120618</Words>
  <CharactersWithSpaces>774681</CharactersWithSpaces>
  <Paragraphs>11434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