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Atour Lifestyle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OceanLink Partners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15,780,456.00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15,780,456.00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15,780,456.00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values in rows 5,7, and 9 - 15,780,456 Ordinary Shares represented by 5,260,152 American Depositary Shares (ADSs), each ADS representing three (3) Ordinary Shares. (2) The percentage in row 11 - 4.72% is based on 334,448,671 Ordinary Shares outstanding as of December 31, 2025 as reported on the issuer's 20-F on April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Atour Lifestyle Holdings Ltd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1ST FLOOR, WUZHONG BUILDING, 618 WUZHONG ROAD, MINHANG DISTRICT, SHANGHAI, CHINA 201103</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is being filed by OceanLink Partners Fund, LP, a Cayman Islands exempted limited partnership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the Reporting Person is Unit 2430, 24/F, Lee Garden One, 33 Hysan Avenue, Causeway Bay, Hong Kong.</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Cayman Islands exempted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Reporting Person beneficially owns 15,780,456 Class A ordinary shares, par value US$0.0001 per share, of the Issuer ("Ordinary Shares") represented by 5,260,152 American Depositary Shares (ADSs), each ADS representing three (3) Ordinary Shares. The amount and percentage of beneficial ownership reported herein are as of July 30, 2026.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4.72  %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Reporting Person has the sole power to vote or direct the vote of 15,780,456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Reporting Person has the shared power to vote or to direct the vote of 0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Reporting Person has the sole power to dispose or direct the disposition of 5,780,456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Reporting Person has the shared power to dispose or to direct the disposition of 0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OceanLink Partners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Signature:</w:t>
                  </w:r>
                </w:p>
              </w:tc>
              <w:tc>
                <w:tcPr>
                  <w:tcW w:w="9018" w:type="dxa"/>
                  <w:tcBorders/>
                  <w:vAlign w:val="center"/>
                </w:tcPr>
                <w:p>
                  <w:pPr>
                    <w:pStyle w:val="TableContents"/>
                    <w:bidi w:val="0"/>
                    <w:spacing w:before="0" w:after="283"/>
                    <w:jc w:val="left"/>
                    <w:rPr/>
                  </w:pPr>
                  <w:r>
                    <w:rPr/>
                    <w:t>/s/Richard Li</w:t>
                  </w:r>
                </w:p>
              </w:tc>
            </w:tr>
            <w:tr>
              <w:trPr/>
              <w:tc>
                <w:tcPr>
                  <w:tcW w:w="1187" w:type="dxa"/>
                  <w:tcBorders/>
                  <w:vAlign w:val="center"/>
                </w:tcPr>
                <w:p>
                  <w:pPr>
                    <w:pStyle w:val="TableContents"/>
                    <w:bidi w:val="0"/>
                    <w:spacing w:before="0" w:after="283"/>
                    <w:jc w:val="left"/>
                    <w:rPr/>
                  </w:pPr>
                  <w:r>
                    <w:rPr/>
                    <w:t>Name/Title:</w:t>
                  </w:r>
                </w:p>
              </w:tc>
              <w:tc>
                <w:tcPr>
                  <w:tcW w:w="9018" w:type="dxa"/>
                  <w:tcBorders/>
                  <w:vAlign w:val="center"/>
                </w:tcPr>
                <w:p>
                  <w:pPr>
                    <w:pStyle w:val="TableContents"/>
                    <w:bidi w:val="0"/>
                    <w:spacing w:before="0" w:after="283"/>
                    <w:jc w:val="left"/>
                    <w:rPr/>
                  </w:pPr>
                  <w:r>
                    <w:rPr/>
                    <w:t>Director</w:t>
                  </w:r>
                </w:p>
              </w:tc>
            </w:tr>
            <w:tr>
              <w:trPr/>
              <w:tc>
                <w:tcPr>
                  <w:tcW w:w="1187" w:type="dxa"/>
                  <w:tcBorders/>
                  <w:vAlign w:val="center"/>
                </w:tcPr>
                <w:p>
                  <w:pPr>
                    <w:pStyle w:val="TableContents"/>
                    <w:bidi w:val="0"/>
                    <w:spacing w:before="0" w:after="283"/>
                    <w:jc w:val="left"/>
                    <w:rPr/>
                  </w:pPr>
                  <w:r>
                    <w:rPr/>
                    <w:t>Date:</w:t>
                  </w:r>
                </w:p>
              </w:tc>
              <w:tc>
                <w:tcPr>
                  <w:tcW w:w="901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Reporting Person beneficially owns approximately 4.72% of the class. The percentage of beneficial ownership reported herein, and on the Reporting Person's cover page to this Schedule 13G, is based on a total of 334,448,671 Ordinary Shares issued and outstanding as of December 31, 2025, as reported in the most recent annual report of the Issuer on Form 20-F for its fiscal year ended December 31,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5298</Characters>
  <CharactersWithSpaces>6315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