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Atour Lifestyle Holdings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M&amp;G Plc on behalf of certain subsidiaries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16,265,283.00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17,380,242.00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17,380,242.00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8895"/>
        <w:gridCol w:w="172"/>
      </w:tblGrid>
      <w:tr>
        <w:trPr/>
        <w:tc>
          <w:tcPr>
            <w:tcW w:w="1138"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Atour Lifestyle Holdings Limited</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18th Floor, Wuzhong Building, 618 Wuzhong Road, Minhang District, Shanghai,201103,People's Republic of China</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M&amp;G Plc on behalf of certain subsidiaries</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10 Fenchurch Avenue, London, EC3M 5AG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 England</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$0.00001 per share</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0"/>
              <w:jc w:val="left"/>
              <w:rPr/>
            </w:pPr>
            <w:r>
              <w:rPr/>
              <w:t xml:space="preserve">M&amp;G Plc is the ultimate parent, through wholly-owned intermediate holding companies, of the persons listed in Item 7, each of which is a person of a category specified in 240.13d-1(b)(1)(ii)(A) through (J). M&amp;G Plc and such other persons are referred to herein collectively as the "Reporting Persons." The securities reported herein are held for the account of investment vehicles for which one or more of the Reporting Persons serves as investment manager. In such capacity and/or through other relationships, which may change from time to time, each Reporting Person may be deemed to beneficially own all or a portion of the securities reported herein. Each Reporting Person disclaims beneficial ownership of such securities except to the extent of its beneficial ownership therein. </w:t>
            </w:r>
          </w:p>
        </w:tc>
      </w:tr>
      <w:tr>
        <w:trPr/>
        <w:tc>
          <w:tcPr>
            <w:tcW w:w="1138"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17,380,242</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5.20%  %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16,265,283</w:t>
            </w:r>
          </w:p>
          <w:p>
            <w:pPr>
              <w:pStyle w:val="TableContents"/>
              <w:bidi w:val="0"/>
              <w:spacing w:before="0" w:after="0"/>
              <w:jc w:val="left"/>
              <w:rPr/>
            </w:pPr>
            <w:r>
              <w:rPr/>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17,380,242</w:t>
            </w:r>
          </w:p>
          <w:p>
            <w:pPr>
              <w:pStyle w:val="TableContents"/>
              <w:bidi w:val="0"/>
              <w:spacing w:before="0" w:after="0"/>
              <w:jc w:val="left"/>
              <w:rPr/>
            </w:pPr>
            <w:r>
              <w:rPr/>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A</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72"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M&amp;G Plc on behalf of certain subsidiaries</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Tamara Postoj</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Tamara Postoj, Regulatory Reporting Technical 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937</Words>
  <Characters>4926</Characters>
  <CharactersWithSpaces>5855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